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41A" w:rsidRDefault="00AB2578" w:rsidP="00D3741A"/>
    <w:p w:rsidR="00D3741A" w:rsidRDefault="00AB2578" w:rsidP="00D3741A">
      <w:pPr>
        <w:rPr>
          <w:rtl/>
        </w:rPr>
      </w:pPr>
    </w:p>
    <w:p w:rsidR="00D3741A" w:rsidRPr="00A840FA" w:rsidRDefault="007E05FC" w:rsidP="00691AE0">
      <w:pPr>
        <w:rPr>
          <w:rFonts w:ascii="David" w:hAnsi="David"/>
          <w:b/>
          <w:bCs/>
          <w:sz w:val="28"/>
          <w:szCs w:val="28"/>
          <w:u w:val="single"/>
          <w:rtl/>
        </w:rPr>
      </w:pPr>
      <w:r w:rsidRPr="00A840FA">
        <w:rPr>
          <w:rFonts w:ascii="David" w:hAnsi="David"/>
          <w:b/>
          <w:bCs/>
          <w:sz w:val="28"/>
          <w:szCs w:val="28"/>
          <w:u w:val="single"/>
          <w:rtl/>
        </w:rPr>
        <w:t>בפני כבוד השופט ה</w:t>
      </w:r>
      <w:r w:rsidR="00691AE0">
        <w:rPr>
          <w:rFonts w:ascii="David" w:hAnsi="David" w:hint="cs"/>
          <w:b/>
          <w:bCs/>
          <w:sz w:val="28"/>
          <w:szCs w:val="28"/>
          <w:u w:val="single"/>
          <w:rtl/>
        </w:rPr>
        <w:t>'</w:t>
      </w:r>
      <w:r w:rsidRPr="00A840FA">
        <w:rPr>
          <w:rFonts w:ascii="David" w:hAnsi="David"/>
          <w:b/>
          <w:bCs/>
          <w:sz w:val="28"/>
          <w:szCs w:val="28"/>
          <w:u w:val="single"/>
          <w:rtl/>
        </w:rPr>
        <w:t xml:space="preserve"> קירש </w:t>
      </w:r>
    </w:p>
    <w:p w:rsidR="00D3741A" w:rsidRDefault="00AB2578" w:rsidP="00D3741A">
      <w:pPr>
        <w:rPr>
          <w:b/>
          <w:bCs/>
          <w:sz w:val="28"/>
          <w:szCs w:val="28"/>
          <w:u w:val="single"/>
          <w:rtl/>
        </w:rPr>
      </w:pPr>
    </w:p>
    <w:p w:rsidR="00D3741A" w:rsidRDefault="00AB2578" w:rsidP="00D3741A">
      <w:pPr>
        <w:rPr>
          <w:b/>
          <w:bCs/>
          <w:sz w:val="28"/>
          <w:szCs w:val="28"/>
          <w:u w:val="single"/>
          <w:rtl/>
        </w:rPr>
      </w:pPr>
    </w:p>
    <w:p w:rsidR="00D3741A" w:rsidRDefault="00AB2578" w:rsidP="00D3741A">
      <w:pPr>
        <w:rPr>
          <w:rtl/>
        </w:rPr>
      </w:pPr>
    </w:p>
    <w:tbl>
      <w:tblPr>
        <w:tblStyle w:val="a9"/>
        <w:bidiVisual/>
        <w:tblW w:w="0"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5562"/>
      </w:tblGrid>
      <w:tr w:rsidR="00D3741A" w:rsidTr="00D3741A">
        <w:tc>
          <w:tcPr>
            <w:tcW w:w="3240" w:type="dxa"/>
            <w:hideMark/>
          </w:tcPr>
          <w:p w:rsidR="00D3741A" w:rsidRDefault="007E05FC">
            <w:pPr>
              <w:spacing w:line="360" w:lineRule="auto"/>
              <w:ind w:left="26"/>
              <w:rPr>
                <w:b/>
                <w:bCs/>
                <w:sz w:val="26"/>
                <w:szCs w:val="26"/>
              </w:rPr>
            </w:pPr>
            <w:r>
              <w:rPr>
                <w:rFonts w:hint="cs"/>
                <w:b/>
                <w:bCs/>
                <w:sz w:val="26"/>
                <w:szCs w:val="26"/>
                <w:rtl/>
              </w:rPr>
              <w:t>המערערת</w:t>
            </w:r>
          </w:p>
        </w:tc>
        <w:tc>
          <w:tcPr>
            <w:tcW w:w="5562" w:type="dxa"/>
            <w:hideMark/>
          </w:tcPr>
          <w:p w:rsidR="00D3741A" w:rsidRDefault="007E05FC">
            <w:pPr>
              <w:rPr>
                <w:rtl/>
              </w:rPr>
            </w:pPr>
            <w:r>
              <w:rPr>
                <w:rFonts w:hint="cs"/>
                <w:b/>
                <w:bCs/>
                <w:sz w:val="26"/>
                <w:szCs w:val="26"/>
                <w:rtl/>
              </w:rPr>
              <w:t>עוז טכנולוגיות (1972) בע"מ</w:t>
            </w:r>
          </w:p>
          <w:p w:rsidR="00D3741A" w:rsidRPr="00691AE0" w:rsidRDefault="007E05FC">
            <w:pPr>
              <w:rPr>
                <w:sz w:val="26"/>
                <w:szCs w:val="26"/>
                <w:rtl/>
              </w:rPr>
            </w:pPr>
            <w:r w:rsidRPr="00691AE0">
              <w:rPr>
                <w:sz w:val="26"/>
                <w:szCs w:val="26"/>
                <w:rtl/>
              </w:rPr>
              <w:t>ע"י ב"כ עו</w:t>
            </w:r>
            <w:r w:rsidR="00021832">
              <w:rPr>
                <w:rFonts w:hint="cs"/>
                <w:sz w:val="26"/>
                <w:szCs w:val="26"/>
                <w:rtl/>
              </w:rPr>
              <w:t>ה</w:t>
            </w:r>
            <w:r w:rsidRPr="00691AE0">
              <w:rPr>
                <w:sz w:val="26"/>
                <w:szCs w:val="26"/>
                <w:rtl/>
              </w:rPr>
              <w:t>"ד</w:t>
            </w:r>
            <w:r w:rsidR="001815A6">
              <w:rPr>
                <w:rFonts w:hint="cs"/>
                <w:sz w:val="26"/>
                <w:szCs w:val="26"/>
                <w:rtl/>
              </w:rPr>
              <w:t xml:space="preserve"> יניב שקל</w:t>
            </w:r>
            <w:r w:rsidR="00691AE0" w:rsidRPr="00691AE0">
              <w:rPr>
                <w:rFonts w:hint="cs"/>
                <w:sz w:val="26"/>
                <w:szCs w:val="26"/>
                <w:rtl/>
              </w:rPr>
              <w:t xml:space="preserve"> </w:t>
            </w:r>
            <w:r w:rsidR="001815A6">
              <w:rPr>
                <w:rFonts w:hint="cs"/>
                <w:sz w:val="26"/>
                <w:szCs w:val="26"/>
                <w:rtl/>
              </w:rPr>
              <w:t>ו</w:t>
            </w:r>
            <w:r w:rsidR="00691AE0" w:rsidRPr="00691AE0">
              <w:rPr>
                <w:rFonts w:hint="cs"/>
                <w:sz w:val="26"/>
                <w:szCs w:val="26"/>
                <w:rtl/>
              </w:rPr>
              <w:t>נעם יוסלבסקי</w:t>
            </w:r>
          </w:p>
        </w:tc>
      </w:tr>
      <w:tr w:rsidR="00D3741A" w:rsidTr="00D3741A">
        <w:tc>
          <w:tcPr>
            <w:tcW w:w="8802" w:type="dxa"/>
            <w:gridSpan w:val="2"/>
          </w:tcPr>
          <w:p w:rsidR="00D3741A" w:rsidRPr="001815A6" w:rsidRDefault="00AB2578">
            <w:pPr>
              <w:jc w:val="both"/>
              <w:rPr>
                <w:rFonts w:ascii="Arial" w:hAnsi="Arial"/>
                <w:b/>
                <w:bCs/>
                <w:sz w:val="26"/>
                <w:szCs w:val="26"/>
                <w:rtl/>
              </w:rPr>
            </w:pPr>
          </w:p>
          <w:p w:rsidR="00D3741A" w:rsidRDefault="007E05FC">
            <w:pPr>
              <w:jc w:val="center"/>
              <w:rPr>
                <w:rFonts w:ascii="Arial" w:hAnsi="Arial"/>
                <w:b/>
                <w:bCs/>
                <w:sz w:val="26"/>
                <w:szCs w:val="26"/>
                <w:rtl/>
              </w:rPr>
            </w:pPr>
            <w:r>
              <w:rPr>
                <w:rFonts w:ascii="Arial" w:hAnsi="Arial" w:hint="cs"/>
                <w:b/>
                <w:bCs/>
                <w:sz w:val="26"/>
                <w:szCs w:val="26"/>
                <w:rtl/>
              </w:rPr>
              <w:t>נגד</w:t>
            </w:r>
          </w:p>
          <w:p w:rsidR="00D3741A" w:rsidRDefault="00AB2578">
            <w:pPr>
              <w:jc w:val="center"/>
              <w:rPr>
                <w:rFonts w:ascii="Arial" w:hAnsi="Arial"/>
                <w:b/>
                <w:bCs/>
                <w:sz w:val="26"/>
                <w:szCs w:val="26"/>
                <w:rtl/>
              </w:rPr>
            </w:pPr>
          </w:p>
        </w:tc>
      </w:tr>
      <w:tr w:rsidR="00D3741A" w:rsidTr="00D3741A">
        <w:tc>
          <w:tcPr>
            <w:tcW w:w="3240" w:type="dxa"/>
            <w:hideMark/>
          </w:tcPr>
          <w:p w:rsidR="00D3741A" w:rsidRDefault="007E05FC">
            <w:pPr>
              <w:ind w:left="26"/>
              <w:rPr>
                <w:b/>
                <w:bCs/>
                <w:sz w:val="26"/>
                <w:szCs w:val="26"/>
              </w:rPr>
            </w:pPr>
            <w:r>
              <w:rPr>
                <w:rFonts w:hint="cs"/>
                <w:b/>
                <w:bCs/>
                <w:sz w:val="26"/>
                <w:szCs w:val="26"/>
                <w:rtl/>
              </w:rPr>
              <w:t>המשיב</w:t>
            </w:r>
          </w:p>
        </w:tc>
        <w:tc>
          <w:tcPr>
            <w:tcW w:w="5562" w:type="dxa"/>
            <w:hideMark/>
          </w:tcPr>
          <w:p w:rsidR="00D3741A" w:rsidRDefault="007E05FC">
            <w:pPr>
              <w:rPr>
                <w:rtl/>
              </w:rPr>
            </w:pPr>
            <w:r>
              <w:rPr>
                <w:rFonts w:hint="cs"/>
                <w:b/>
                <w:bCs/>
                <w:sz w:val="26"/>
                <w:szCs w:val="26"/>
                <w:rtl/>
              </w:rPr>
              <w:t>פקיד שומה למפעלים גדולים</w:t>
            </w:r>
          </w:p>
          <w:p w:rsidR="00691AE0" w:rsidRDefault="007E05FC">
            <w:pPr>
              <w:rPr>
                <w:sz w:val="26"/>
                <w:szCs w:val="26"/>
                <w:rtl/>
              </w:rPr>
            </w:pPr>
            <w:r>
              <w:rPr>
                <w:sz w:val="26"/>
                <w:szCs w:val="26"/>
                <w:rtl/>
              </w:rPr>
              <w:t>ע"י ב"כ עו"ד</w:t>
            </w:r>
            <w:r w:rsidR="00691AE0">
              <w:rPr>
                <w:rFonts w:hint="cs"/>
                <w:b/>
                <w:bCs/>
                <w:sz w:val="26"/>
                <w:szCs w:val="26"/>
                <w:rtl/>
              </w:rPr>
              <w:t xml:space="preserve"> </w:t>
            </w:r>
            <w:r w:rsidR="00691AE0" w:rsidRPr="00691AE0">
              <w:rPr>
                <w:rFonts w:hint="cs"/>
                <w:sz w:val="26"/>
                <w:szCs w:val="26"/>
                <w:rtl/>
              </w:rPr>
              <w:t xml:space="preserve">גלית פואה </w:t>
            </w:r>
          </w:p>
          <w:p w:rsidR="00D3741A" w:rsidRDefault="00691AE0" w:rsidP="001815A6">
            <w:pPr>
              <w:rPr>
                <w:b/>
                <w:bCs/>
                <w:sz w:val="26"/>
                <w:szCs w:val="26"/>
                <w:rtl/>
              </w:rPr>
            </w:pPr>
            <w:r w:rsidRPr="00691AE0">
              <w:rPr>
                <w:rFonts w:hint="cs"/>
                <w:sz w:val="26"/>
                <w:szCs w:val="26"/>
                <w:rtl/>
              </w:rPr>
              <w:t xml:space="preserve">מפרקליטות </w:t>
            </w:r>
            <w:r w:rsidR="001815A6">
              <w:rPr>
                <w:rFonts w:hint="cs"/>
                <w:sz w:val="26"/>
                <w:szCs w:val="26"/>
                <w:rtl/>
              </w:rPr>
              <w:t xml:space="preserve">מחוז תל </w:t>
            </w:r>
            <w:r w:rsidRPr="00691AE0">
              <w:rPr>
                <w:rFonts w:hint="cs"/>
                <w:sz w:val="26"/>
                <w:szCs w:val="26"/>
                <w:rtl/>
              </w:rPr>
              <w:t>א</w:t>
            </w:r>
            <w:r w:rsidR="001815A6">
              <w:rPr>
                <w:rFonts w:hint="cs"/>
                <w:sz w:val="26"/>
                <w:szCs w:val="26"/>
                <w:rtl/>
              </w:rPr>
              <w:t>ביב</w:t>
            </w:r>
            <w:r>
              <w:rPr>
                <w:rFonts w:hint="cs"/>
                <w:b/>
                <w:bCs/>
                <w:sz w:val="26"/>
                <w:szCs w:val="26"/>
                <w:rtl/>
              </w:rPr>
              <w:t xml:space="preserve"> </w:t>
            </w:r>
            <w:r w:rsidR="001815A6" w:rsidRPr="00691AE0">
              <w:rPr>
                <w:rFonts w:hint="cs"/>
                <w:sz w:val="26"/>
                <w:szCs w:val="26"/>
                <w:rtl/>
              </w:rPr>
              <w:t>(אזרחי)</w:t>
            </w:r>
          </w:p>
        </w:tc>
      </w:tr>
      <w:tr w:rsidR="00D3741A" w:rsidTr="00D3741A">
        <w:tc>
          <w:tcPr>
            <w:tcW w:w="3240" w:type="dxa"/>
          </w:tcPr>
          <w:p w:rsidR="00D3741A" w:rsidRDefault="00AB2578">
            <w:pPr>
              <w:rPr>
                <w:rFonts w:ascii="David" w:eastAsia="David" w:hAnsi="David"/>
                <w:rtl/>
              </w:rPr>
            </w:pPr>
          </w:p>
        </w:tc>
        <w:tc>
          <w:tcPr>
            <w:tcW w:w="5562" w:type="dxa"/>
          </w:tcPr>
          <w:p w:rsidR="00D3741A" w:rsidRDefault="00AB2578">
            <w:pPr>
              <w:rPr>
                <w:rFonts w:ascii="David" w:eastAsia="David" w:hAnsi="David"/>
              </w:rPr>
            </w:pPr>
          </w:p>
        </w:tc>
      </w:tr>
    </w:tbl>
    <w:p w:rsidR="00D3741A" w:rsidRDefault="00AB2578" w:rsidP="00D3741A">
      <w:pPr>
        <w:spacing w:line="360" w:lineRule="auto"/>
        <w:jc w:val="both"/>
        <w:rPr>
          <w:rFonts w:ascii="Arial" w:eastAsia="David" w:hAnsi="Arial"/>
        </w:rPr>
      </w:pPr>
    </w:p>
    <w:p w:rsidR="00D3741A" w:rsidRDefault="00AB2578" w:rsidP="00D3741A">
      <w:pPr>
        <w:spacing w:line="360" w:lineRule="auto"/>
        <w:jc w:val="both"/>
        <w:rPr>
          <w:sz w:val="6"/>
          <w:szCs w:val="6"/>
          <w:rtl/>
        </w:rPr>
      </w:pPr>
    </w:p>
    <w:p w:rsidR="00D3741A" w:rsidRDefault="00AB2578" w:rsidP="00D3741A">
      <w:pPr>
        <w:pStyle w:val="12"/>
        <w:rPr>
          <w:b w:val="0"/>
          <w:bCs w:val="0"/>
          <w:u w:val="none"/>
          <w:rtl/>
        </w:rPr>
      </w:pPr>
    </w:p>
    <w:p w:rsidR="00D3741A" w:rsidRPr="007F5051" w:rsidRDefault="00AB2578" w:rsidP="00D3741A">
      <w:pPr>
        <w:pStyle w:val="12"/>
        <w:rPr>
          <w:b w:val="0"/>
          <w:bCs w:val="0"/>
          <w:sz w:val="36"/>
          <w:szCs w:val="36"/>
          <w:u w:val="none"/>
          <w:rtl/>
        </w:rPr>
      </w:pPr>
    </w:p>
    <w:p w:rsidR="00D3741A" w:rsidRPr="007F5051" w:rsidRDefault="00691AE0" w:rsidP="00691AE0">
      <w:pPr>
        <w:pStyle w:val="12"/>
        <w:jc w:val="center"/>
        <w:rPr>
          <w:sz w:val="36"/>
          <w:szCs w:val="36"/>
          <w:rtl/>
        </w:rPr>
      </w:pPr>
      <w:r w:rsidRPr="007F5051">
        <w:rPr>
          <w:rFonts w:hint="cs"/>
          <w:sz w:val="36"/>
          <w:szCs w:val="36"/>
          <w:rtl/>
        </w:rPr>
        <w:t>פסק דין (חלקי)</w:t>
      </w:r>
    </w:p>
    <w:p w:rsidR="00691AE0" w:rsidRDefault="00691AE0" w:rsidP="00691AE0">
      <w:pPr>
        <w:pStyle w:val="12"/>
        <w:jc w:val="center"/>
        <w:rPr>
          <w:sz w:val="32"/>
          <w:szCs w:val="32"/>
          <w:rtl/>
        </w:rPr>
      </w:pPr>
    </w:p>
    <w:p w:rsidR="00D3741A" w:rsidRPr="007F5051" w:rsidRDefault="007F5051" w:rsidP="007F5051">
      <w:pPr>
        <w:pStyle w:val="ac"/>
        <w:numPr>
          <w:ilvl w:val="0"/>
          <w:numId w:val="1"/>
        </w:numPr>
        <w:spacing w:line="360" w:lineRule="auto"/>
        <w:ind w:left="417"/>
        <w:jc w:val="both"/>
        <w:rPr>
          <w:b/>
          <w:bCs/>
          <w:sz w:val="32"/>
          <w:szCs w:val="32"/>
          <w:u w:val="single"/>
        </w:rPr>
      </w:pPr>
      <w:r w:rsidRPr="007F5051">
        <w:rPr>
          <w:rFonts w:hint="cs"/>
          <w:b/>
          <w:bCs/>
          <w:sz w:val="32"/>
          <w:szCs w:val="32"/>
          <w:u w:val="single"/>
          <w:rtl/>
        </w:rPr>
        <w:t>מבוא</w:t>
      </w:r>
    </w:p>
    <w:p w:rsidR="006433E5" w:rsidRDefault="006433E5" w:rsidP="007F5051">
      <w:pPr>
        <w:pStyle w:val="ac"/>
        <w:numPr>
          <w:ilvl w:val="0"/>
          <w:numId w:val="2"/>
        </w:numPr>
        <w:spacing w:line="360" w:lineRule="auto"/>
        <w:ind w:left="397" w:right="-454"/>
        <w:jc w:val="both"/>
        <w:rPr>
          <w:sz w:val="26"/>
          <w:szCs w:val="26"/>
        </w:rPr>
      </w:pPr>
      <w:r>
        <w:rPr>
          <w:rFonts w:hint="cs"/>
          <w:sz w:val="26"/>
          <w:szCs w:val="26"/>
          <w:rtl/>
        </w:rPr>
        <w:t>חברה שמשכירה נדל"ן להשקעה עשויה לחלק דיבידנד מתוך רווח חשבונאי הגבוה מהכנסתה החייבת</w:t>
      </w:r>
      <w:r w:rsidR="00E87A11">
        <w:rPr>
          <w:rFonts w:hint="cs"/>
          <w:sz w:val="26"/>
          <w:szCs w:val="26"/>
          <w:rtl/>
        </w:rPr>
        <w:t xml:space="preserve">, וזאת בשל תביעת פחת לצורכי מס כנגד </w:t>
      </w:r>
      <w:r>
        <w:rPr>
          <w:rFonts w:hint="cs"/>
          <w:sz w:val="26"/>
          <w:szCs w:val="26"/>
          <w:rtl/>
        </w:rPr>
        <w:t>הכנסות השכירות. ערעור זה עוסק בשאלת תחולתו של סעיף 126(</w:t>
      </w:r>
      <w:r w:rsidR="00E87A11">
        <w:rPr>
          <w:rFonts w:hint="cs"/>
          <w:sz w:val="26"/>
          <w:szCs w:val="26"/>
          <w:rtl/>
        </w:rPr>
        <w:t xml:space="preserve">ב) לפקודת מס הכנסה </w:t>
      </w:r>
      <w:r>
        <w:rPr>
          <w:rFonts w:hint="cs"/>
          <w:sz w:val="26"/>
          <w:szCs w:val="26"/>
          <w:rtl/>
        </w:rPr>
        <w:t>על</w:t>
      </w:r>
      <w:r w:rsidR="00E87A11">
        <w:rPr>
          <w:rFonts w:hint="cs"/>
          <w:sz w:val="26"/>
          <w:szCs w:val="26"/>
          <w:rtl/>
        </w:rPr>
        <w:t xml:space="preserve"> הדיבידנד שמתקבל בידי חברה אחרת, במצב כגון זה.</w:t>
      </w:r>
      <w:r>
        <w:rPr>
          <w:rFonts w:hint="cs"/>
          <w:sz w:val="26"/>
          <w:szCs w:val="26"/>
          <w:rtl/>
        </w:rPr>
        <w:t xml:space="preserve"> </w:t>
      </w:r>
    </w:p>
    <w:p w:rsidR="006433E5" w:rsidRDefault="006433E5" w:rsidP="006433E5">
      <w:pPr>
        <w:pStyle w:val="ac"/>
        <w:spacing w:line="360" w:lineRule="auto"/>
        <w:ind w:left="397" w:right="-454"/>
        <w:jc w:val="both"/>
        <w:rPr>
          <w:sz w:val="26"/>
          <w:szCs w:val="26"/>
        </w:rPr>
      </w:pPr>
    </w:p>
    <w:p w:rsidR="007F5051" w:rsidRDefault="007F5051" w:rsidP="007F5051">
      <w:pPr>
        <w:pStyle w:val="ac"/>
        <w:numPr>
          <w:ilvl w:val="0"/>
          <w:numId w:val="2"/>
        </w:numPr>
        <w:spacing w:line="360" w:lineRule="auto"/>
        <w:ind w:left="397" w:right="-454"/>
        <w:jc w:val="both"/>
        <w:rPr>
          <w:sz w:val="26"/>
          <w:szCs w:val="26"/>
        </w:rPr>
      </w:pPr>
      <w:r w:rsidRPr="007F5051">
        <w:rPr>
          <w:rFonts w:hint="cs"/>
          <w:sz w:val="26"/>
          <w:szCs w:val="26"/>
          <w:rtl/>
        </w:rPr>
        <w:t>המערערת, עוז טכנולוגיות (1972) בע"מ, החזיקה במועדים הרלבנטיים בכ- 17.7% ממניות חברת אבנת בע"מ (</w:t>
      </w:r>
      <w:r w:rsidR="001815A6">
        <w:rPr>
          <w:rFonts w:hint="cs"/>
          <w:b/>
          <w:bCs/>
          <w:sz w:val="26"/>
          <w:szCs w:val="26"/>
          <w:rtl/>
        </w:rPr>
        <w:t>"</w:t>
      </w:r>
      <w:r w:rsidRPr="007F5051">
        <w:rPr>
          <w:rFonts w:hint="cs"/>
          <w:b/>
          <w:bCs/>
          <w:sz w:val="26"/>
          <w:szCs w:val="26"/>
          <w:rtl/>
        </w:rPr>
        <w:t>אבנת"</w:t>
      </w:r>
      <w:r w:rsidRPr="007F5051">
        <w:rPr>
          <w:rFonts w:hint="cs"/>
          <w:sz w:val="26"/>
          <w:szCs w:val="26"/>
          <w:rtl/>
        </w:rPr>
        <w:t>).</w:t>
      </w:r>
    </w:p>
    <w:p w:rsidR="007F5051" w:rsidRDefault="007F5051" w:rsidP="007F5051">
      <w:pPr>
        <w:pStyle w:val="ac"/>
        <w:spacing w:line="360" w:lineRule="auto"/>
        <w:ind w:left="397" w:right="-454"/>
        <w:jc w:val="both"/>
        <w:rPr>
          <w:sz w:val="26"/>
          <w:szCs w:val="26"/>
          <w:rtl/>
        </w:rPr>
      </w:pPr>
    </w:p>
    <w:p w:rsidR="007F5051" w:rsidRDefault="007F5051" w:rsidP="007F5051">
      <w:pPr>
        <w:pStyle w:val="ac"/>
        <w:spacing w:line="360" w:lineRule="auto"/>
        <w:ind w:left="397" w:right="-454"/>
        <w:jc w:val="both"/>
        <w:rPr>
          <w:sz w:val="26"/>
          <w:szCs w:val="26"/>
          <w:rtl/>
        </w:rPr>
      </w:pPr>
      <w:r>
        <w:rPr>
          <w:rFonts w:hint="cs"/>
          <w:sz w:val="26"/>
          <w:szCs w:val="26"/>
          <w:rtl/>
        </w:rPr>
        <w:t>יתר מניות אבנת (כ- 82.3%) הוחזקו על ידי חברת האם  של המערערת, חברת מרכזי מסחר (אזו-ריט) בע"מ (</w:t>
      </w:r>
      <w:r>
        <w:rPr>
          <w:rFonts w:hint="cs"/>
          <w:b/>
          <w:bCs/>
          <w:sz w:val="26"/>
          <w:szCs w:val="26"/>
          <w:rtl/>
        </w:rPr>
        <w:t>"חברת האם"</w:t>
      </w:r>
      <w:r>
        <w:rPr>
          <w:rFonts w:hint="cs"/>
          <w:sz w:val="26"/>
          <w:szCs w:val="26"/>
          <w:rtl/>
        </w:rPr>
        <w:t>).</w:t>
      </w:r>
    </w:p>
    <w:p w:rsidR="007F5051" w:rsidRDefault="007F5051" w:rsidP="007F5051">
      <w:pPr>
        <w:pStyle w:val="ac"/>
        <w:spacing w:line="360" w:lineRule="auto"/>
        <w:ind w:left="397" w:right="-454"/>
        <w:jc w:val="both"/>
        <w:rPr>
          <w:sz w:val="26"/>
          <w:szCs w:val="26"/>
          <w:rtl/>
        </w:rPr>
      </w:pPr>
    </w:p>
    <w:p w:rsidR="007F5051" w:rsidRDefault="007F5051" w:rsidP="007F5051">
      <w:pPr>
        <w:pStyle w:val="ac"/>
        <w:spacing w:line="360" w:lineRule="auto"/>
        <w:ind w:left="397" w:right="-454"/>
        <w:jc w:val="both"/>
        <w:rPr>
          <w:sz w:val="26"/>
          <w:szCs w:val="26"/>
          <w:rtl/>
        </w:rPr>
      </w:pPr>
      <w:r>
        <w:rPr>
          <w:rFonts w:hint="cs"/>
          <w:sz w:val="26"/>
          <w:szCs w:val="26"/>
          <w:rtl/>
        </w:rPr>
        <w:t>אבנת היא הבעלים של המרכז המסחרי "הקניון הגדול" בעיר פתח תקווה (</w:t>
      </w:r>
      <w:r>
        <w:rPr>
          <w:rFonts w:hint="cs"/>
          <w:b/>
          <w:bCs/>
          <w:sz w:val="26"/>
          <w:szCs w:val="26"/>
          <w:rtl/>
        </w:rPr>
        <w:t>"הקניון"</w:t>
      </w:r>
      <w:r w:rsidRPr="00965224">
        <w:rPr>
          <w:rFonts w:hint="cs"/>
          <w:sz w:val="26"/>
          <w:szCs w:val="26"/>
          <w:rtl/>
        </w:rPr>
        <w:t>)</w:t>
      </w:r>
      <w:r w:rsidR="00965224">
        <w:rPr>
          <w:rFonts w:hint="cs"/>
          <w:sz w:val="26"/>
          <w:szCs w:val="26"/>
          <w:rtl/>
        </w:rPr>
        <w:t xml:space="preserve">. </w:t>
      </w:r>
    </w:p>
    <w:p w:rsidR="00965224" w:rsidRPr="007F5051" w:rsidRDefault="00965224" w:rsidP="007F5051">
      <w:pPr>
        <w:pStyle w:val="ac"/>
        <w:spacing w:line="360" w:lineRule="auto"/>
        <w:ind w:left="397" w:right="-454"/>
        <w:jc w:val="both"/>
        <w:rPr>
          <w:sz w:val="26"/>
          <w:szCs w:val="26"/>
        </w:rPr>
      </w:pPr>
    </w:p>
    <w:p w:rsidR="007F5051" w:rsidRDefault="00965224" w:rsidP="001815A6">
      <w:pPr>
        <w:pStyle w:val="ac"/>
        <w:numPr>
          <w:ilvl w:val="0"/>
          <w:numId w:val="2"/>
        </w:numPr>
        <w:spacing w:line="360" w:lineRule="auto"/>
        <w:ind w:left="397" w:right="-454"/>
        <w:jc w:val="both"/>
        <w:rPr>
          <w:sz w:val="26"/>
          <w:szCs w:val="26"/>
        </w:rPr>
      </w:pPr>
      <w:r>
        <w:rPr>
          <w:rFonts w:hint="cs"/>
          <w:sz w:val="26"/>
          <w:szCs w:val="26"/>
          <w:rtl/>
        </w:rPr>
        <w:t xml:space="preserve">אבנת מפיקה הכנסה מהשכרת שטחי מסחר בקניון </w:t>
      </w:r>
      <w:r w:rsidR="001815A6">
        <w:rPr>
          <w:rFonts w:hint="cs"/>
          <w:sz w:val="26"/>
          <w:szCs w:val="26"/>
          <w:rtl/>
        </w:rPr>
        <w:t>וממתן</w:t>
      </w:r>
      <w:r w:rsidR="00BE5810">
        <w:rPr>
          <w:rFonts w:hint="cs"/>
          <w:sz w:val="26"/>
          <w:szCs w:val="26"/>
          <w:rtl/>
        </w:rPr>
        <w:t xml:space="preserve"> שירותי ניהול ותחזוקה</w:t>
      </w:r>
      <w:r>
        <w:rPr>
          <w:rFonts w:hint="cs"/>
          <w:sz w:val="26"/>
          <w:szCs w:val="26"/>
          <w:rtl/>
        </w:rPr>
        <w:t xml:space="preserve"> לשוכרים. </w:t>
      </w:r>
    </w:p>
    <w:p w:rsidR="00965224" w:rsidRPr="001815A6" w:rsidRDefault="00965224" w:rsidP="00965224">
      <w:pPr>
        <w:spacing w:line="360" w:lineRule="auto"/>
        <w:ind w:right="-454"/>
        <w:jc w:val="both"/>
        <w:rPr>
          <w:sz w:val="26"/>
          <w:szCs w:val="26"/>
        </w:rPr>
      </w:pPr>
    </w:p>
    <w:p w:rsidR="005B6A80" w:rsidRDefault="001815A6" w:rsidP="00A80FEB">
      <w:pPr>
        <w:pStyle w:val="ac"/>
        <w:numPr>
          <w:ilvl w:val="0"/>
          <w:numId w:val="2"/>
        </w:numPr>
        <w:spacing w:line="360" w:lineRule="auto"/>
        <w:ind w:left="397" w:right="-454"/>
        <w:jc w:val="both"/>
        <w:rPr>
          <w:sz w:val="26"/>
          <w:szCs w:val="26"/>
        </w:rPr>
      </w:pPr>
      <w:r>
        <w:rPr>
          <w:rFonts w:hint="cs"/>
          <w:sz w:val="26"/>
          <w:szCs w:val="26"/>
          <w:rtl/>
        </w:rPr>
        <w:lastRenderedPageBreak/>
        <w:t xml:space="preserve">בדוחותיה הכספיים, </w:t>
      </w:r>
      <w:r w:rsidR="00965224">
        <w:rPr>
          <w:rFonts w:hint="cs"/>
          <w:sz w:val="26"/>
          <w:szCs w:val="26"/>
          <w:rtl/>
        </w:rPr>
        <w:t xml:space="preserve">אבנת בחרה ליישם את מודל </w:t>
      </w:r>
      <w:r>
        <w:rPr>
          <w:rFonts w:hint="cs"/>
          <w:sz w:val="26"/>
          <w:szCs w:val="26"/>
          <w:rtl/>
        </w:rPr>
        <w:t>"</w:t>
      </w:r>
      <w:r w:rsidR="00965224">
        <w:rPr>
          <w:rFonts w:hint="cs"/>
          <w:sz w:val="26"/>
          <w:szCs w:val="26"/>
          <w:rtl/>
        </w:rPr>
        <w:t>השווי ההוגן" לגבי הנדל"ן המנ</w:t>
      </w:r>
      <w:r w:rsidR="004A2292">
        <w:rPr>
          <w:rFonts w:hint="cs"/>
          <w:sz w:val="26"/>
          <w:szCs w:val="26"/>
          <w:rtl/>
        </w:rPr>
        <w:t>יב שבבעלותה, לרבות הקניון הנדון,</w:t>
      </w:r>
      <w:r w:rsidR="00965224">
        <w:rPr>
          <w:rFonts w:hint="cs"/>
          <w:sz w:val="26"/>
          <w:szCs w:val="26"/>
          <w:rtl/>
        </w:rPr>
        <w:t xml:space="preserve"> וזאת במסגרת תקן חשבונאות בינלאומי</w:t>
      </w:r>
      <w:r w:rsidR="00A80FEB">
        <w:rPr>
          <w:rFonts w:hint="cs"/>
          <w:sz w:val="26"/>
          <w:szCs w:val="26"/>
          <w:rtl/>
        </w:rPr>
        <w:t xml:space="preserve"> 40</w:t>
      </w:r>
      <w:r w:rsidR="00965224">
        <w:rPr>
          <w:rFonts w:hint="cs"/>
          <w:sz w:val="26"/>
          <w:szCs w:val="26"/>
          <w:rtl/>
        </w:rPr>
        <w:t xml:space="preserve"> </w:t>
      </w:r>
      <w:r w:rsidR="00965224" w:rsidRPr="00A80FEB">
        <w:t xml:space="preserve"> IAS</w:t>
      </w:r>
      <w:r w:rsidR="00965224">
        <w:rPr>
          <w:rFonts w:hint="cs"/>
          <w:sz w:val="26"/>
          <w:szCs w:val="26"/>
          <w:rtl/>
        </w:rPr>
        <w:t xml:space="preserve"> (</w:t>
      </w:r>
      <w:r w:rsidR="00965224">
        <w:rPr>
          <w:rFonts w:hint="cs"/>
          <w:b/>
          <w:bCs/>
          <w:sz w:val="26"/>
          <w:szCs w:val="26"/>
          <w:rtl/>
        </w:rPr>
        <w:t>"התקן החשבונאי"</w:t>
      </w:r>
      <w:r w:rsidR="00965224">
        <w:rPr>
          <w:rFonts w:hint="cs"/>
          <w:sz w:val="26"/>
          <w:szCs w:val="26"/>
          <w:rtl/>
        </w:rPr>
        <w:t xml:space="preserve">). על פי התקן </w:t>
      </w:r>
      <w:r w:rsidR="004A2292">
        <w:rPr>
          <w:rFonts w:hint="cs"/>
          <w:sz w:val="26"/>
          <w:szCs w:val="26"/>
          <w:rtl/>
        </w:rPr>
        <w:t>האמור</w:t>
      </w:r>
      <w:r>
        <w:rPr>
          <w:rFonts w:hint="cs"/>
          <w:sz w:val="26"/>
          <w:szCs w:val="26"/>
          <w:rtl/>
        </w:rPr>
        <w:t>, הק</w:t>
      </w:r>
      <w:r w:rsidR="00640BDD">
        <w:rPr>
          <w:rFonts w:hint="cs"/>
          <w:sz w:val="26"/>
          <w:szCs w:val="26"/>
          <w:rtl/>
        </w:rPr>
        <w:t>ניו</w:t>
      </w:r>
      <w:r>
        <w:rPr>
          <w:rFonts w:hint="cs"/>
          <w:sz w:val="26"/>
          <w:szCs w:val="26"/>
          <w:rtl/>
        </w:rPr>
        <w:t>ן מסווג כ"נדל"ן להשקעה"</w:t>
      </w:r>
      <w:r w:rsidR="004A2292">
        <w:rPr>
          <w:rFonts w:hint="cs"/>
          <w:sz w:val="26"/>
          <w:szCs w:val="26"/>
          <w:rtl/>
        </w:rPr>
        <w:t xml:space="preserve"> </w:t>
      </w:r>
      <w:r>
        <w:rPr>
          <w:rFonts w:hint="cs"/>
          <w:sz w:val="26"/>
          <w:szCs w:val="26"/>
          <w:rtl/>
        </w:rPr>
        <w:t>מפני שהוא</w:t>
      </w:r>
      <w:r w:rsidR="00640BDD">
        <w:rPr>
          <w:rFonts w:hint="cs"/>
          <w:sz w:val="26"/>
          <w:szCs w:val="26"/>
          <w:rtl/>
        </w:rPr>
        <w:t xml:space="preserve"> מהווה</w:t>
      </w:r>
      <w:r>
        <w:rPr>
          <w:rFonts w:hint="cs"/>
          <w:sz w:val="26"/>
          <w:szCs w:val="26"/>
          <w:rtl/>
        </w:rPr>
        <w:t xml:space="preserve"> רכוש לזמן ארוך המוחזק לצורך הפקת דמי שכירות </w:t>
      </w:r>
      <w:r w:rsidR="004B7FE0">
        <w:rPr>
          <w:rFonts w:hint="cs"/>
          <w:sz w:val="26"/>
          <w:szCs w:val="26"/>
          <w:rtl/>
        </w:rPr>
        <w:t>והכנסות נלוות</w:t>
      </w:r>
      <w:r w:rsidR="00E24CE3">
        <w:rPr>
          <w:rFonts w:hint="cs"/>
          <w:sz w:val="26"/>
          <w:szCs w:val="26"/>
          <w:rtl/>
        </w:rPr>
        <w:t xml:space="preserve"> ולשם עליית ערך הונית</w:t>
      </w:r>
      <w:r w:rsidR="00DE1C4F">
        <w:rPr>
          <w:rFonts w:hint="cs"/>
          <w:sz w:val="26"/>
          <w:szCs w:val="26"/>
          <w:rtl/>
        </w:rPr>
        <w:t>.</w:t>
      </w:r>
      <w:r>
        <w:rPr>
          <w:rFonts w:hint="cs"/>
          <w:sz w:val="26"/>
          <w:szCs w:val="26"/>
          <w:rtl/>
        </w:rPr>
        <w:t xml:space="preserve"> בהתאם לתקן</w:t>
      </w:r>
      <w:r w:rsidR="004B7FE0">
        <w:rPr>
          <w:rFonts w:hint="cs"/>
          <w:sz w:val="26"/>
          <w:szCs w:val="26"/>
          <w:rtl/>
        </w:rPr>
        <w:t>,</w:t>
      </w:r>
      <w:r>
        <w:rPr>
          <w:rFonts w:hint="cs"/>
          <w:sz w:val="26"/>
          <w:szCs w:val="26"/>
          <w:rtl/>
        </w:rPr>
        <w:t xml:space="preserve"> </w:t>
      </w:r>
      <w:r w:rsidR="004A2292">
        <w:rPr>
          <w:rFonts w:hint="cs"/>
          <w:sz w:val="26"/>
          <w:szCs w:val="26"/>
          <w:rtl/>
        </w:rPr>
        <w:t>ה</w:t>
      </w:r>
      <w:r w:rsidR="00965224">
        <w:rPr>
          <w:rFonts w:hint="cs"/>
          <w:sz w:val="26"/>
          <w:szCs w:val="26"/>
          <w:rtl/>
        </w:rPr>
        <w:t xml:space="preserve">טיפול </w:t>
      </w:r>
      <w:r>
        <w:rPr>
          <w:rFonts w:hint="cs"/>
          <w:sz w:val="26"/>
          <w:szCs w:val="26"/>
          <w:rtl/>
        </w:rPr>
        <w:t xml:space="preserve">החשבונאי </w:t>
      </w:r>
      <w:r w:rsidR="004B7FE0">
        <w:rPr>
          <w:rFonts w:hint="cs"/>
          <w:sz w:val="26"/>
          <w:szCs w:val="26"/>
          <w:rtl/>
        </w:rPr>
        <w:t>בנכסי נדל"ן להשקעה</w:t>
      </w:r>
      <w:r w:rsidR="00965224">
        <w:rPr>
          <w:rFonts w:hint="cs"/>
          <w:sz w:val="26"/>
          <w:szCs w:val="26"/>
          <w:rtl/>
        </w:rPr>
        <w:t xml:space="preserve"> יכול להיעשות באחת משתי דרכים: לפי מודל ה</w:t>
      </w:r>
      <w:r w:rsidR="005B6A80">
        <w:rPr>
          <w:rFonts w:hint="cs"/>
          <w:sz w:val="26"/>
          <w:szCs w:val="26"/>
          <w:rtl/>
        </w:rPr>
        <w:t>שווי ההוגן</w:t>
      </w:r>
      <w:r w:rsidR="00176AAD">
        <w:rPr>
          <w:rFonts w:hint="cs"/>
          <w:sz w:val="26"/>
          <w:szCs w:val="26"/>
          <w:rtl/>
        </w:rPr>
        <w:t xml:space="preserve"> או לפי מודל העלות</w:t>
      </w:r>
      <w:r w:rsidR="005B6A80">
        <w:rPr>
          <w:rFonts w:hint="cs"/>
          <w:sz w:val="26"/>
          <w:szCs w:val="26"/>
          <w:rtl/>
        </w:rPr>
        <w:t xml:space="preserve">. בהתאם למודל העלות, </w:t>
      </w:r>
      <w:r w:rsidR="00965224">
        <w:rPr>
          <w:rFonts w:hint="cs"/>
          <w:sz w:val="26"/>
          <w:szCs w:val="26"/>
          <w:rtl/>
        </w:rPr>
        <w:t>נדל"ן להשקעה יוצג במאזן על פי עלות</w:t>
      </w:r>
      <w:r w:rsidR="005B6A80">
        <w:rPr>
          <w:rFonts w:hint="cs"/>
          <w:sz w:val="26"/>
          <w:szCs w:val="26"/>
          <w:rtl/>
        </w:rPr>
        <w:t>ו</w:t>
      </w:r>
      <w:r w:rsidR="00965224">
        <w:rPr>
          <w:rFonts w:hint="cs"/>
          <w:sz w:val="26"/>
          <w:szCs w:val="26"/>
          <w:rtl/>
        </w:rPr>
        <w:t xml:space="preserve"> בניכוי הפחת שנצבר ובניכוי הפסדים מירידת ערך, ו</w:t>
      </w:r>
      <w:r w:rsidR="005B6A80">
        <w:rPr>
          <w:rFonts w:hint="cs"/>
          <w:sz w:val="26"/>
          <w:szCs w:val="26"/>
          <w:rtl/>
        </w:rPr>
        <w:t xml:space="preserve">אילו </w:t>
      </w:r>
      <w:r w:rsidR="00965224">
        <w:rPr>
          <w:rFonts w:hint="cs"/>
          <w:sz w:val="26"/>
          <w:szCs w:val="26"/>
          <w:rtl/>
        </w:rPr>
        <w:t xml:space="preserve">בדו"ח רווח והפסד </w:t>
      </w:r>
      <w:r w:rsidR="005B6A80">
        <w:rPr>
          <w:rFonts w:hint="cs"/>
          <w:sz w:val="26"/>
          <w:szCs w:val="26"/>
          <w:rtl/>
        </w:rPr>
        <w:t xml:space="preserve">יירשמו </w:t>
      </w:r>
      <w:r w:rsidR="00965224">
        <w:rPr>
          <w:rFonts w:hint="cs"/>
          <w:sz w:val="26"/>
          <w:szCs w:val="26"/>
          <w:rtl/>
        </w:rPr>
        <w:t xml:space="preserve">הוצאות פחת. </w:t>
      </w:r>
    </w:p>
    <w:p w:rsidR="005B6A80" w:rsidRPr="005B6A80" w:rsidRDefault="005B6A80" w:rsidP="005B6A80">
      <w:pPr>
        <w:pStyle w:val="ac"/>
        <w:rPr>
          <w:sz w:val="26"/>
          <w:szCs w:val="26"/>
          <w:rtl/>
        </w:rPr>
      </w:pPr>
    </w:p>
    <w:p w:rsidR="00965224" w:rsidRDefault="005B6A80" w:rsidP="004B7FE0">
      <w:pPr>
        <w:pStyle w:val="ac"/>
        <w:spacing w:line="360" w:lineRule="auto"/>
        <w:ind w:left="397" w:right="-454"/>
        <w:jc w:val="both"/>
        <w:rPr>
          <w:sz w:val="26"/>
          <w:szCs w:val="26"/>
        </w:rPr>
      </w:pPr>
      <w:r>
        <w:rPr>
          <w:rFonts w:hint="cs"/>
          <w:sz w:val="26"/>
          <w:szCs w:val="26"/>
          <w:rtl/>
        </w:rPr>
        <w:t xml:space="preserve">לעומת זאת, </w:t>
      </w:r>
      <w:r w:rsidR="00965224">
        <w:rPr>
          <w:rFonts w:hint="cs"/>
          <w:sz w:val="26"/>
          <w:szCs w:val="26"/>
          <w:rtl/>
        </w:rPr>
        <w:t>בהתאם למודל השווי ההוגן, הנדל"ן להשקעה יוצג במאזן לפי שוויו ההוגן</w:t>
      </w:r>
      <w:r>
        <w:rPr>
          <w:rFonts w:hint="cs"/>
          <w:sz w:val="26"/>
          <w:szCs w:val="26"/>
          <w:rtl/>
        </w:rPr>
        <w:t xml:space="preserve"> </w:t>
      </w:r>
      <w:r w:rsidR="004B7FE0">
        <w:rPr>
          <w:rFonts w:hint="cs"/>
          <w:sz w:val="26"/>
          <w:szCs w:val="26"/>
          <w:rtl/>
        </w:rPr>
        <w:t>(שווי שוק)</w:t>
      </w:r>
      <w:r w:rsidR="00965224">
        <w:rPr>
          <w:rFonts w:hint="cs"/>
          <w:sz w:val="26"/>
          <w:szCs w:val="26"/>
          <w:rtl/>
        </w:rPr>
        <w:t xml:space="preserve"> ליום המאזן,  ואילו שינויים בשווי ההוגן מדי תקופה יוכרו כרווחים או </w:t>
      </w:r>
      <w:r>
        <w:rPr>
          <w:rFonts w:hint="cs"/>
          <w:sz w:val="26"/>
          <w:szCs w:val="26"/>
          <w:rtl/>
        </w:rPr>
        <w:t>כ</w:t>
      </w:r>
      <w:r w:rsidR="00965224">
        <w:rPr>
          <w:rFonts w:hint="cs"/>
          <w:sz w:val="26"/>
          <w:szCs w:val="26"/>
          <w:rtl/>
        </w:rPr>
        <w:t xml:space="preserve">הפסדים בדו"ח הרווח והפסד. לפי מודל זה, </w:t>
      </w:r>
      <w:r w:rsidR="00965224" w:rsidRPr="004B7FE0">
        <w:rPr>
          <w:rFonts w:hint="cs"/>
          <w:b/>
          <w:bCs/>
          <w:sz w:val="26"/>
          <w:szCs w:val="26"/>
          <w:rtl/>
        </w:rPr>
        <w:t>אין</w:t>
      </w:r>
      <w:r w:rsidR="00965224">
        <w:rPr>
          <w:rFonts w:hint="cs"/>
          <w:sz w:val="26"/>
          <w:szCs w:val="26"/>
          <w:rtl/>
        </w:rPr>
        <w:t xml:space="preserve"> הכרה בהוצאות פחת בדו"ח רווח והפסד. </w:t>
      </w:r>
    </w:p>
    <w:p w:rsidR="00965224" w:rsidRPr="005B6A80" w:rsidRDefault="00965224" w:rsidP="00965224">
      <w:pPr>
        <w:pStyle w:val="ac"/>
        <w:rPr>
          <w:sz w:val="26"/>
          <w:szCs w:val="26"/>
          <w:rtl/>
        </w:rPr>
      </w:pPr>
    </w:p>
    <w:p w:rsidR="00965224" w:rsidRPr="00965224" w:rsidRDefault="00965224" w:rsidP="004B7FE0">
      <w:pPr>
        <w:pStyle w:val="ac"/>
        <w:spacing w:line="360" w:lineRule="auto"/>
        <w:ind w:left="397" w:right="-454"/>
        <w:jc w:val="both"/>
        <w:rPr>
          <w:sz w:val="26"/>
          <w:szCs w:val="26"/>
        </w:rPr>
      </w:pPr>
      <w:r>
        <w:rPr>
          <w:rFonts w:hint="cs"/>
          <w:sz w:val="26"/>
          <w:szCs w:val="26"/>
          <w:rtl/>
        </w:rPr>
        <w:t xml:space="preserve">לאחר בחירה באחד המודלים </w:t>
      </w:r>
      <w:r w:rsidR="004B7FE0">
        <w:rPr>
          <w:rFonts w:hint="cs"/>
          <w:sz w:val="26"/>
          <w:szCs w:val="26"/>
          <w:rtl/>
        </w:rPr>
        <w:t xml:space="preserve">הנ"ל, </w:t>
      </w:r>
      <w:r>
        <w:rPr>
          <w:rFonts w:hint="cs"/>
          <w:sz w:val="26"/>
          <w:szCs w:val="26"/>
          <w:rtl/>
        </w:rPr>
        <w:t>על הפירמה ליישמו לגבי כלל נכסי הנדל"ן להשקעה שלה</w:t>
      </w:r>
      <w:r w:rsidR="005B6A80">
        <w:rPr>
          <w:rFonts w:hint="cs"/>
          <w:sz w:val="26"/>
          <w:szCs w:val="26"/>
          <w:rtl/>
        </w:rPr>
        <w:t xml:space="preserve"> ולהמשיך לעשות כן </w:t>
      </w:r>
      <w:r>
        <w:rPr>
          <w:rFonts w:hint="cs"/>
          <w:sz w:val="26"/>
          <w:szCs w:val="26"/>
          <w:rtl/>
        </w:rPr>
        <w:t>בעקביות על פני זמן (להסבר כללי ראו</w:t>
      </w:r>
      <w:r w:rsidR="004B7FE0">
        <w:rPr>
          <w:rFonts w:hint="cs"/>
          <w:sz w:val="26"/>
          <w:szCs w:val="26"/>
          <w:rtl/>
        </w:rPr>
        <w:t xml:space="preserve"> ספרו של </w:t>
      </w:r>
      <w:r>
        <w:rPr>
          <w:rFonts w:hint="cs"/>
          <w:sz w:val="26"/>
          <w:szCs w:val="26"/>
          <w:rtl/>
        </w:rPr>
        <w:t xml:space="preserve">אלי אמיר, </w:t>
      </w:r>
      <w:r>
        <w:rPr>
          <w:rFonts w:hint="cs"/>
          <w:b/>
          <w:bCs/>
          <w:sz w:val="26"/>
          <w:szCs w:val="26"/>
          <w:rtl/>
        </w:rPr>
        <w:t>חשבונאות למקבלי החלטות</w:t>
      </w:r>
      <w:r w:rsidR="004B7FE0">
        <w:rPr>
          <w:rFonts w:hint="cs"/>
          <w:b/>
          <w:bCs/>
          <w:sz w:val="26"/>
          <w:szCs w:val="26"/>
          <w:rtl/>
        </w:rPr>
        <w:t xml:space="preserve"> -</w:t>
      </w:r>
      <w:r>
        <w:rPr>
          <w:rFonts w:hint="cs"/>
          <w:b/>
          <w:bCs/>
          <w:sz w:val="26"/>
          <w:szCs w:val="26"/>
          <w:rtl/>
        </w:rPr>
        <w:t xml:space="preserve"> תיאוריה, תקינה, יישומים ותרגילים</w:t>
      </w:r>
      <w:r w:rsidR="004A2292" w:rsidRPr="004B7FE0">
        <w:rPr>
          <w:rFonts w:hint="cs"/>
          <w:sz w:val="26"/>
          <w:szCs w:val="26"/>
          <w:rtl/>
        </w:rPr>
        <w:t>, עמודים 254 עד 257).</w:t>
      </w:r>
      <w:r w:rsidR="004A2292">
        <w:rPr>
          <w:rFonts w:hint="cs"/>
          <w:b/>
          <w:bCs/>
          <w:sz w:val="26"/>
          <w:szCs w:val="26"/>
          <w:rtl/>
        </w:rPr>
        <w:t xml:space="preserve"> </w:t>
      </w:r>
    </w:p>
    <w:p w:rsidR="00965224" w:rsidRPr="00965224" w:rsidRDefault="00965224" w:rsidP="00965224">
      <w:pPr>
        <w:pStyle w:val="ac"/>
        <w:rPr>
          <w:sz w:val="26"/>
          <w:szCs w:val="26"/>
          <w:rtl/>
        </w:rPr>
      </w:pPr>
    </w:p>
    <w:p w:rsidR="004A2292" w:rsidRDefault="004A2292" w:rsidP="009F4384">
      <w:pPr>
        <w:pStyle w:val="ac"/>
        <w:numPr>
          <w:ilvl w:val="0"/>
          <w:numId w:val="2"/>
        </w:numPr>
        <w:spacing w:line="360" w:lineRule="auto"/>
        <w:ind w:left="397" w:right="-454"/>
        <w:jc w:val="both"/>
        <w:rPr>
          <w:sz w:val="26"/>
          <w:szCs w:val="26"/>
        </w:rPr>
      </w:pPr>
      <w:r w:rsidRPr="005B6A80">
        <w:rPr>
          <w:rFonts w:hint="cs"/>
          <w:sz w:val="26"/>
          <w:szCs w:val="26"/>
          <w:rtl/>
        </w:rPr>
        <w:t>כפועל יוצא מבחירתה של אבנת במודל השווי ההוגן, בדוחות הרווח והפסד שלה נרשמו הכנסות מעליית ערך (שערוך)</w:t>
      </w:r>
      <w:r w:rsidR="005B6A80" w:rsidRPr="005B6A80">
        <w:rPr>
          <w:rFonts w:hint="cs"/>
          <w:sz w:val="26"/>
          <w:szCs w:val="26"/>
          <w:rtl/>
        </w:rPr>
        <w:t xml:space="preserve"> הנדל"ן להשקעה, לרבות הקניון,</w:t>
      </w:r>
      <w:r w:rsidRPr="005B6A80">
        <w:rPr>
          <w:rFonts w:hint="cs"/>
          <w:sz w:val="26"/>
          <w:szCs w:val="26"/>
          <w:rtl/>
        </w:rPr>
        <w:t xml:space="preserve"> אך לא נרשמו הוצאות פחת בקשר</w:t>
      </w:r>
      <w:r w:rsidR="005B6A80">
        <w:rPr>
          <w:rFonts w:hint="cs"/>
          <w:sz w:val="26"/>
          <w:szCs w:val="26"/>
          <w:rtl/>
        </w:rPr>
        <w:t xml:space="preserve"> אליו.</w:t>
      </w:r>
    </w:p>
    <w:p w:rsidR="002C7E3C" w:rsidRPr="005B6A80" w:rsidRDefault="002C7E3C" w:rsidP="002C7E3C">
      <w:pPr>
        <w:pStyle w:val="ac"/>
        <w:spacing w:line="360" w:lineRule="auto"/>
        <w:ind w:left="397" w:right="-454"/>
        <w:jc w:val="both"/>
        <w:rPr>
          <w:sz w:val="26"/>
          <w:szCs w:val="26"/>
        </w:rPr>
      </w:pPr>
    </w:p>
    <w:p w:rsidR="004A2292" w:rsidRDefault="004B7FE0" w:rsidP="00176AAD">
      <w:pPr>
        <w:pStyle w:val="ac"/>
        <w:spacing w:line="360" w:lineRule="auto"/>
        <w:ind w:left="397" w:right="-454"/>
        <w:jc w:val="both"/>
        <w:rPr>
          <w:sz w:val="26"/>
          <w:szCs w:val="26"/>
        </w:rPr>
      </w:pPr>
      <w:r>
        <w:rPr>
          <w:rFonts w:hint="cs"/>
          <w:sz w:val="26"/>
          <w:szCs w:val="26"/>
          <w:rtl/>
        </w:rPr>
        <w:t>מנגד,</w:t>
      </w:r>
      <w:r w:rsidR="004A2292">
        <w:rPr>
          <w:rFonts w:hint="cs"/>
          <w:sz w:val="26"/>
          <w:szCs w:val="26"/>
          <w:rtl/>
        </w:rPr>
        <w:t xml:space="preserve"> לצ</w:t>
      </w:r>
      <w:r w:rsidR="00176AAD">
        <w:rPr>
          <w:rFonts w:hint="cs"/>
          <w:sz w:val="26"/>
          <w:szCs w:val="26"/>
          <w:rtl/>
        </w:rPr>
        <w:t>ו</w:t>
      </w:r>
      <w:r w:rsidR="004A2292">
        <w:rPr>
          <w:rFonts w:hint="cs"/>
          <w:sz w:val="26"/>
          <w:szCs w:val="26"/>
          <w:rtl/>
        </w:rPr>
        <w:t xml:space="preserve">רכי מס, אבנת לא רשמה הכנסה בגין העלייה התקופתית בשווי ההוגן של הנדל"ן המניב </w:t>
      </w:r>
      <w:r w:rsidR="004A2292">
        <w:rPr>
          <w:sz w:val="26"/>
          <w:szCs w:val="26"/>
          <w:rtl/>
        </w:rPr>
        <w:t>–</w:t>
      </w:r>
      <w:r w:rsidR="004A2292">
        <w:rPr>
          <w:rFonts w:hint="cs"/>
          <w:sz w:val="26"/>
          <w:szCs w:val="26"/>
          <w:rtl/>
        </w:rPr>
        <w:t xml:space="preserve"> כי הרי הנכסים לא מומשו </w:t>
      </w:r>
      <w:r w:rsidR="004A2292">
        <w:rPr>
          <w:sz w:val="26"/>
          <w:szCs w:val="26"/>
          <w:rtl/>
        </w:rPr>
        <w:t>–</w:t>
      </w:r>
      <w:r w:rsidR="004A2292">
        <w:rPr>
          <w:rFonts w:hint="cs"/>
          <w:sz w:val="26"/>
          <w:szCs w:val="26"/>
          <w:rtl/>
        </w:rPr>
        <w:t xml:space="preserve"> אך כן תבעה פחת כהוצאה בחישוב ההכ</w:t>
      </w:r>
      <w:r w:rsidR="005B6A80">
        <w:rPr>
          <w:rFonts w:hint="cs"/>
          <w:sz w:val="26"/>
          <w:szCs w:val="26"/>
          <w:rtl/>
        </w:rPr>
        <w:t>נסה החייבת, בהתאם לתק</w:t>
      </w:r>
      <w:r w:rsidR="004A2292">
        <w:rPr>
          <w:rFonts w:hint="cs"/>
          <w:sz w:val="26"/>
          <w:szCs w:val="26"/>
          <w:rtl/>
        </w:rPr>
        <w:t xml:space="preserve">נות </w:t>
      </w:r>
      <w:r>
        <w:rPr>
          <w:rFonts w:hint="cs"/>
          <w:sz w:val="26"/>
          <w:szCs w:val="26"/>
          <w:rtl/>
        </w:rPr>
        <w:t>מס הכנסה (פחת)</w:t>
      </w:r>
      <w:r w:rsidR="00176AAD">
        <w:rPr>
          <w:rFonts w:hint="cs"/>
          <w:sz w:val="26"/>
          <w:szCs w:val="26"/>
          <w:rtl/>
        </w:rPr>
        <w:t>,</w:t>
      </w:r>
      <w:r>
        <w:rPr>
          <w:rFonts w:hint="cs"/>
          <w:sz w:val="26"/>
          <w:szCs w:val="26"/>
          <w:rtl/>
        </w:rPr>
        <w:t xml:space="preserve"> 1941.</w:t>
      </w:r>
      <w:r w:rsidR="004A2292">
        <w:rPr>
          <w:rFonts w:hint="cs"/>
          <w:sz w:val="26"/>
          <w:szCs w:val="26"/>
          <w:rtl/>
        </w:rPr>
        <w:t xml:space="preserve"> </w:t>
      </w:r>
    </w:p>
    <w:p w:rsidR="004A2292" w:rsidRPr="00176AAD" w:rsidRDefault="004A2292" w:rsidP="004A2292">
      <w:pPr>
        <w:pStyle w:val="ac"/>
        <w:rPr>
          <w:sz w:val="26"/>
          <w:szCs w:val="26"/>
          <w:rtl/>
        </w:rPr>
      </w:pPr>
    </w:p>
    <w:p w:rsidR="004A2292" w:rsidRDefault="004A2292" w:rsidP="00176AAD">
      <w:pPr>
        <w:pStyle w:val="ac"/>
        <w:numPr>
          <w:ilvl w:val="0"/>
          <w:numId w:val="2"/>
        </w:numPr>
        <w:spacing w:line="360" w:lineRule="auto"/>
        <w:ind w:left="397" w:right="-454"/>
        <w:jc w:val="both"/>
        <w:rPr>
          <w:sz w:val="26"/>
          <w:szCs w:val="26"/>
        </w:rPr>
      </w:pPr>
      <w:r>
        <w:rPr>
          <w:rFonts w:hint="cs"/>
          <w:sz w:val="26"/>
          <w:szCs w:val="26"/>
          <w:rtl/>
        </w:rPr>
        <w:t xml:space="preserve">בשנת המס 2016 אבנת חילקה לשתי בעלות מניותיה (המערערת וחברת האם) </w:t>
      </w:r>
      <w:r w:rsidR="00A318A3">
        <w:rPr>
          <w:rFonts w:hint="cs"/>
          <w:sz w:val="26"/>
          <w:szCs w:val="26"/>
          <w:rtl/>
        </w:rPr>
        <w:t xml:space="preserve">דיבידנד </w:t>
      </w:r>
      <w:r>
        <w:rPr>
          <w:rFonts w:hint="cs"/>
          <w:sz w:val="26"/>
          <w:szCs w:val="26"/>
          <w:rtl/>
        </w:rPr>
        <w:t xml:space="preserve">בסך 80 מיליון </w:t>
      </w:r>
      <w:r w:rsidR="003F5D7E">
        <w:rPr>
          <w:rFonts w:hint="cs"/>
          <w:sz w:val="26"/>
          <w:szCs w:val="26"/>
          <w:rtl/>
        </w:rPr>
        <w:t>ש"ח</w:t>
      </w:r>
      <w:r>
        <w:rPr>
          <w:rFonts w:hint="cs"/>
          <w:sz w:val="26"/>
          <w:szCs w:val="26"/>
          <w:rtl/>
        </w:rPr>
        <w:t xml:space="preserve"> (אשר חלקה של המערערת בו היה 14.16 מיליון ש"ח), וא</w:t>
      </w:r>
      <w:r w:rsidR="003F5D7E">
        <w:rPr>
          <w:rFonts w:hint="cs"/>
          <w:sz w:val="26"/>
          <w:szCs w:val="26"/>
          <w:rtl/>
        </w:rPr>
        <w:t>ילו בשנת המס 2017 אבנת חילקה די</w:t>
      </w:r>
      <w:r>
        <w:rPr>
          <w:rFonts w:hint="cs"/>
          <w:sz w:val="26"/>
          <w:szCs w:val="26"/>
          <w:rtl/>
        </w:rPr>
        <w:t xml:space="preserve">בידנד </w:t>
      </w:r>
      <w:r w:rsidR="000446E6">
        <w:rPr>
          <w:rFonts w:hint="cs"/>
          <w:sz w:val="26"/>
          <w:szCs w:val="26"/>
          <w:rtl/>
        </w:rPr>
        <w:t xml:space="preserve">נוסף </w:t>
      </w:r>
      <w:r>
        <w:rPr>
          <w:rFonts w:hint="cs"/>
          <w:sz w:val="26"/>
          <w:szCs w:val="26"/>
          <w:rtl/>
        </w:rPr>
        <w:t>בסך 40 מיליון ש"ח (</w:t>
      </w:r>
      <w:r w:rsidR="00176AAD">
        <w:rPr>
          <w:rFonts w:hint="cs"/>
          <w:sz w:val="26"/>
          <w:szCs w:val="26"/>
          <w:rtl/>
        </w:rPr>
        <w:t>כ</w:t>
      </w:r>
      <w:r>
        <w:rPr>
          <w:rFonts w:hint="cs"/>
          <w:sz w:val="26"/>
          <w:szCs w:val="26"/>
          <w:rtl/>
        </w:rPr>
        <w:t>אשר חלקה של המערערת בו היה 7</w:t>
      </w:r>
      <w:r w:rsidR="001B60FA">
        <w:rPr>
          <w:rFonts w:hint="cs"/>
          <w:sz w:val="26"/>
          <w:szCs w:val="26"/>
          <w:rtl/>
        </w:rPr>
        <w:t xml:space="preserve">.08 מיליון ש"ח). </w:t>
      </w:r>
    </w:p>
    <w:p w:rsidR="003F5D7E" w:rsidRPr="003F5D7E" w:rsidRDefault="003F5D7E" w:rsidP="003F5D7E">
      <w:pPr>
        <w:pStyle w:val="ac"/>
        <w:rPr>
          <w:sz w:val="26"/>
          <w:szCs w:val="26"/>
          <w:rtl/>
        </w:rPr>
      </w:pPr>
    </w:p>
    <w:p w:rsidR="003F5D7E" w:rsidRDefault="000446E6" w:rsidP="004B7FE0">
      <w:pPr>
        <w:pStyle w:val="ac"/>
        <w:numPr>
          <w:ilvl w:val="0"/>
          <w:numId w:val="2"/>
        </w:numPr>
        <w:spacing w:line="360" w:lineRule="auto"/>
        <w:ind w:left="397" w:right="-454"/>
        <w:jc w:val="both"/>
        <w:rPr>
          <w:sz w:val="26"/>
          <w:szCs w:val="26"/>
        </w:rPr>
      </w:pPr>
      <w:r w:rsidRPr="000446E6">
        <w:rPr>
          <w:rFonts w:hint="cs"/>
          <w:sz w:val="26"/>
          <w:szCs w:val="26"/>
          <w:rtl/>
        </w:rPr>
        <w:t xml:space="preserve">בתקופות שקדמו לחלוקת הדיבידנדים הנ"ל, אבנת רשמה בדוחותיה הכספיים הן </w:t>
      </w:r>
      <w:r w:rsidR="003F5D7E" w:rsidRPr="000446E6">
        <w:rPr>
          <w:rFonts w:hint="cs"/>
          <w:sz w:val="26"/>
          <w:szCs w:val="26"/>
          <w:rtl/>
        </w:rPr>
        <w:t>"רווחי השערוך"</w:t>
      </w:r>
      <w:r w:rsidR="004B7FE0">
        <w:rPr>
          <w:rFonts w:hint="cs"/>
          <w:sz w:val="26"/>
          <w:szCs w:val="26"/>
          <w:rtl/>
        </w:rPr>
        <w:t xml:space="preserve"> </w:t>
      </w:r>
      <w:r w:rsidR="003F5D7E" w:rsidRPr="000446E6">
        <w:rPr>
          <w:rFonts w:hint="cs"/>
          <w:sz w:val="26"/>
          <w:szCs w:val="26"/>
          <w:rtl/>
        </w:rPr>
        <w:t>שנבע</w:t>
      </w:r>
      <w:r w:rsidRPr="000446E6">
        <w:rPr>
          <w:rFonts w:hint="cs"/>
          <w:sz w:val="26"/>
          <w:szCs w:val="26"/>
          <w:rtl/>
        </w:rPr>
        <w:t xml:space="preserve">ו מיישום מודל השווי ההוגן, והן </w:t>
      </w:r>
      <w:r w:rsidR="003F5D7E" w:rsidRPr="000446E6">
        <w:rPr>
          <w:rFonts w:hint="cs"/>
          <w:sz w:val="26"/>
          <w:szCs w:val="26"/>
          <w:rtl/>
        </w:rPr>
        <w:t xml:space="preserve">רווחים "רגילים" מפעילות השכרת השטחים ומתן שירותי ניהול ואחזקה. </w:t>
      </w:r>
    </w:p>
    <w:p w:rsidR="009D784D" w:rsidRPr="009D784D" w:rsidRDefault="009D784D" w:rsidP="009D784D">
      <w:pPr>
        <w:pStyle w:val="ac"/>
        <w:rPr>
          <w:sz w:val="26"/>
          <w:szCs w:val="26"/>
          <w:rtl/>
        </w:rPr>
      </w:pPr>
    </w:p>
    <w:p w:rsidR="003F5D7E" w:rsidRDefault="00247CD3" w:rsidP="00165C16">
      <w:pPr>
        <w:pStyle w:val="ac"/>
        <w:numPr>
          <w:ilvl w:val="0"/>
          <w:numId w:val="2"/>
        </w:numPr>
        <w:spacing w:line="360" w:lineRule="auto"/>
        <w:ind w:left="397" w:right="-454"/>
        <w:jc w:val="both"/>
        <w:rPr>
          <w:sz w:val="26"/>
          <w:szCs w:val="26"/>
        </w:rPr>
      </w:pPr>
      <w:r>
        <w:rPr>
          <w:rFonts w:hint="cs"/>
          <w:sz w:val="26"/>
          <w:szCs w:val="26"/>
          <w:rtl/>
        </w:rPr>
        <w:t xml:space="preserve">וביתר פירוט: לפי תחשיבי המשיב, הרווחים החשבונאיים </w:t>
      </w:r>
      <w:r>
        <w:rPr>
          <w:sz w:val="26"/>
          <w:szCs w:val="26"/>
          <w:rtl/>
        </w:rPr>
        <w:t>–</w:t>
      </w:r>
      <w:r w:rsidR="004B7FE0">
        <w:rPr>
          <w:rFonts w:hint="cs"/>
          <w:sz w:val="26"/>
          <w:szCs w:val="26"/>
          <w:rtl/>
        </w:rPr>
        <w:t xml:space="preserve"> נטו ממס</w:t>
      </w:r>
      <w:r>
        <w:rPr>
          <w:rFonts w:hint="cs"/>
          <w:sz w:val="26"/>
          <w:szCs w:val="26"/>
          <w:rtl/>
        </w:rPr>
        <w:t xml:space="preserve"> </w:t>
      </w:r>
      <w:r>
        <w:rPr>
          <w:sz w:val="26"/>
          <w:szCs w:val="26"/>
          <w:rtl/>
        </w:rPr>
        <w:t>–</w:t>
      </w:r>
      <w:r>
        <w:rPr>
          <w:rFonts w:hint="cs"/>
          <w:sz w:val="26"/>
          <w:szCs w:val="26"/>
          <w:rtl/>
        </w:rPr>
        <w:t xml:space="preserve"> שעמדו לרשות אבנת ערב חלוקת הדיבידנד על ידיה בשנת 2016 היו מורכבים מסך </w:t>
      </w:r>
      <w:r>
        <w:rPr>
          <w:rFonts w:hint="cs"/>
          <w:b/>
          <w:bCs/>
          <w:sz w:val="26"/>
          <w:szCs w:val="26"/>
          <w:rtl/>
        </w:rPr>
        <w:t xml:space="preserve">107.5 </w:t>
      </w:r>
      <w:r>
        <w:rPr>
          <w:rFonts w:hint="cs"/>
          <w:sz w:val="26"/>
          <w:szCs w:val="26"/>
          <w:rtl/>
        </w:rPr>
        <w:t xml:space="preserve">מיליון ש"ח (בקירוב) משערוך נדל"ן מניב, ומסך </w:t>
      </w:r>
      <w:r>
        <w:rPr>
          <w:rFonts w:hint="cs"/>
          <w:b/>
          <w:bCs/>
          <w:sz w:val="26"/>
          <w:szCs w:val="26"/>
          <w:rtl/>
        </w:rPr>
        <w:t>102.7</w:t>
      </w:r>
      <w:r>
        <w:rPr>
          <w:rFonts w:hint="cs"/>
          <w:sz w:val="26"/>
          <w:szCs w:val="26"/>
          <w:rtl/>
        </w:rPr>
        <w:t xml:space="preserve"> מיליון ש"ח </w:t>
      </w:r>
      <w:r w:rsidRPr="00247CD3">
        <w:rPr>
          <w:rFonts w:hint="cs"/>
          <w:sz w:val="26"/>
          <w:szCs w:val="26"/>
          <w:rtl/>
        </w:rPr>
        <w:t>(בקירוב) מפעילות עסקית רגילה</w:t>
      </w:r>
      <w:r w:rsidR="00176AAD">
        <w:rPr>
          <w:rFonts w:hint="cs"/>
          <w:sz w:val="26"/>
          <w:szCs w:val="26"/>
          <w:rtl/>
        </w:rPr>
        <w:t xml:space="preserve"> (השכרה וכו')</w:t>
      </w:r>
      <w:r w:rsidRPr="00247CD3">
        <w:rPr>
          <w:rFonts w:hint="cs"/>
          <w:sz w:val="26"/>
          <w:szCs w:val="26"/>
          <w:rtl/>
        </w:rPr>
        <w:t>.</w:t>
      </w:r>
      <w:r>
        <w:rPr>
          <w:rFonts w:hint="cs"/>
          <w:b/>
          <w:bCs/>
          <w:sz w:val="26"/>
          <w:szCs w:val="26"/>
          <w:rtl/>
        </w:rPr>
        <w:t xml:space="preserve"> </w:t>
      </w:r>
      <w:r w:rsidRPr="00165C16">
        <w:rPr>
          <w:rFonts w:hint="cs"/>
          <w:sz w:val="26"/>
          <w:szCs w:val="26"/>
          <w:rtl/>
        </w:rPr>
        <w:t xml:space="preserve">במהלך התקופה שבה הצטברו רווחים אלה </w:t>
      </w:r>
      <w:r w:rsidR="009D784D">
        <w:rPr>
          <w:rFonts w:hint="cs"/>
          <w:sz w:val="26"/>
          <w:szCs w:val="26"/>
          <w:rtl/>
        </w:rPr>
        <w:t>(מ</w:t>
      </w:r>
      <w:r w:rsidR="00165C16" w:rsidRPr="00165C16">
        <w:rPr>
          <w:rFonts w:hint="cs"/>
          <w:sz w:val="26"/>
          <w:szCs w:val="26"/>
          <w:rtl/>
        </w:rPr>
        <w:t xml:space="preserve">יום 1.1.2010 עד </w:t>
      </w:r>
      <w:r w:rsidR="009D784D">
        <w:rPr>
          <w:rFonts w:hint="cs"/>
          <w:sz w:val="26"/>
          <w:szCs w:val="26"/>
          <w:rtl/>
        </w:rPr>
        <w:t>ל</w:t>
      </w:r>
      <w:r w:rsidR="00165C16" w:rsidRPr="00165C16">
        <w:rPr>
          <w:rFonts w:hint="cs"/>
          <w:sz w:val="26"/>
          <w:szCs w:val="26"/>
          <w:rtl/>
        </w:rPr>
        <w:t>יום 30.9.2015) , אבנת תבעה</w:t>
      </w:r>
      <w:r w:rsidR="00165C16">
        <w:rPr>
          <w:rFonts w:hint="cs"/>
          <w:b/>
          <w:bCs/>
          <w:sz w:val="26"/>
          <w:szCs w:val="26"/>
          <w:rtl/>
        </w:rPr>
        <w:t xml:space="preserve"> </w:t>
      </w:r>
      <w:r w:rsidR="00165C16" w:rsidRPr="00165C16">
        <w:rPr>
          <w:rFonts w:hint="cs"/>
          <w:sz w:val="26"/>
          <w:szCs w:val="26"/>
          <w:rtl/>
        </w:rPr>
        <w:t>הוצאות פחת לצורכי מס (בלבד) בסך</w:t>
      </w:r>
      <w:r w:rsidR="00165C16">
        <w:rPr>
          <w:rFonts w:hint="cs"/>
          <w:b/>
          <w:bCs/>
          <w:sz w:val="26"/>
          <w:szCs w:val="26"/>
          <w:rtl/>
        </w:rPr>
        <w:t xml:space="preserve"> </w:t>
      </w:r>
      <w:r w:rsidR="00165C16" w:rsidRPr="00165C16">
        <w:rPr>
          <w:rFonts w:hint="cs"/>
          <w:b/>
          <w:bCs/>
          <w:sz w:val="26"/>
          <w:szCs w:val="26"/>
          <w:rtl/>
        </w:rPr>
        <w:t>96.5</w:t>
      </w:r>
      <w:r w:rsidR="00165C16">
        <w:rPr>
          <w:rFonts w:hint="cs"/>
          <w:sz w:val="26"/>
          <w:szCs w:val="26"/>
          <w:rtl/>
        </w:rPr>
        <w:t xml:space="preserve"> </w:t>
      </w:r>
      <w:r w:rsidR="00165C16" w:rsidRPr="00165C16">
        <w:rPr>
          <w:rFonts w:hint="cs"/>
          <w:sz w:val="26"/>
          <w:szCs w:val="26"/>
          <w:rtl/>
        </w:rPr>
        <w:t xml:space="preserve">מיליון ש"ח (בקירוב). כאמור, הדיבידנד שחולק בשנת 2016 עמד על 80 מיליון ש"ח (לשתי בעלות המניות). </w:t>
      </w:r>
      <w:r w:rsidRPr="00165C16">
        <w:rPr>
          <w:rFonts w:hint="cs"/>
          <w:sz w:val="26"/>
          <w:szCs w:val="26"/>
          <w:rtl/>
        </w:rPr>
        <w:t xml:space="preserve"> </w:t>
      </w:r>
    </w:p>
    <w:p w:rsidR="00286C3A" w:rsidRDefault="00286C3A" w:rsidP="00286C3A">
      <w:pPr>
        <w:pStyle w:val="ac"/>
        <w:spacing w:line="360" w:lineRule="auto"/>
        <w:ind w:left="397" w:right="-454"/>
        <w:jc w:val="both"/>
        <w:rPr>
          <w:sz w:val="26"/>
          <w:szCs w:val="26"/>
          <w:rtl/>
        </w:rPr>
      </w:pPr>
    </w:p>
    <w:p w:rsidR="00286C3A" w:rsidRDefault="00286C3A" w:rsidP="008A639A">
      <w:pPr>
        <w:pStyle w:val="ac"/>
        <w:spacing w:line="360" w:lineRule="auto"/>
        <w:ind w:left="397" w:right="-454"/>
        <w:jc w:val="both"/>
        <w:rPr>
          <w:sz w:val="26"/>
          <w:szCs w:val="26"/>
          <w:rtl/>
        </w:rPr>
      </w:pPr>
      <w:r>
        <w:rPr>
          <w:rFonts w:hint="cs"/>
          <w:sz w:val="26"/>
          <w:szCs w:val="26"/>
          <w:rtl/>
        </w:rPr>
        <w:t xml:space="preserve">המספרים המקבילים לגבי הדיבידנד השני, שחולק בשנת 2017, הם: רווחי שערוך נדל"ן מניב: </w:t>
      </w:r>
      <w:r>
        <w:rPr>
          <w:rFonts w:hint="cs"/>
          <w:b/>
          <w:bCs/>
          <w:sz w:val="26"/>
          <w:szCs w:val="26"/>
          <w:rtl/>
        </w:rPr>
        <w:t>62.6</w:t>
      </w:r>
      <w:r>
        <w:rPr>
          <w:rFonts w:hint="cs"/>
          <w:sz w:val="26"/>
          <w:szCs w:val="26"/>
          <w:rtl/>
        </w:rPr>
        <w:t xml:space="preserve"> מיליון ש"ח; רווחים חשבונאיים מפעילות רגילה: </w:t>
      </w:r>
      <w:r>
        <w:rPr>
          <w:rFonts w:hint="cs"/>
          <w:b/>
          <w:bCs/>
          <w:sz w:val="26"/>
          <w:szCs w:val="26"/>
          <w:rtl/>
        </w:rPr>
        <w:t xml:space="preserve">43.6 </w:t>
      </w:r>
      <w:r>
        <w:rPr>
          <w:rFonts w:hint="cs"/>
          <w:sz w:val="26"/>
          <w:szCs w:val="26"/>
          <w:rtl/>
        </w:rPr>
        <w:t>מיליון ש"</w:t>
      </w:r>
      <w:r w:rsidR="008A639A">
        <w:rPr>
          <w:rFonts w:hint="cs"/>
          <w:sz w:val="26"/>
          <w:szCs w:val="26"/>
          <w:rtl/>
        </w:rPr>
        <w:t>ח; הוצאות פחת שנתבעו לצורכי מס ל</w:t>
      </w:r>
      <w:r>
        <w:rPr>
          <w:rFonts w:hint="cs"/>
          <w:sz w:val="26"/>
          <w:szCs w:val="26"/>
          <w:rtl/>
        </w:rPr>
        <w:t xml:space="preserve">תקופה מיום 1.10.2015 עד 30.9.2016: </w:t>
      </w:r>
      <w:r>
        <w:rPr>
          <w:rFonts w:hint="cs"/>
          <w:b/>
          <w:bCs/>
          <w:sz w:val="26"/>
          <w:szCs w:val="26"/>
          <w:rtl/>
        </w:rPr>
        <w:t xml:space="preserve">22.7 </w:t>
      </w:r>
      <w:r>
        <w:rPr>
          <w:rFonts w:hint="cs"/>
          <w:sz w:val="26"/>
          <w:szCs w:val="26"/>
          <w:rtl/>
        </w:rPr>
        <w:t>מיליון ש"ח.</w:t>
      </w:r>
    </w:p>
    <w:p w:rsidR="00286C3A" w:rsidRPr="00286C3A" w:rsidRDefault="00286C3A" w:rsidP="00286C3A">
      <w:pPr>
        <w:pStyle w:val="ac"/>
        <w:spacing w:line="360" w:lineRule="auto"/>
        <w:ind w:left="397" w:right="-454"/>
        <w:jc w:val="both"/>
        <w:rPr>
          <w:sz w:val="26"/>
          <w:szCs w:val="26"/>
        </w:rPr>
      </w:pPr>
    </w:p>
    <w:p w:rsidR="00286C3A" w:rsidRDefault="00FB613C" w:rsidP="008A639A">
      <w:pPr>
        <w:pStyle w:val="ac"/>
        <w:numPr>
          <w:ilvl w:val="0"/>
          <w:numId w:val="2"/>
        </w:numPr>
        <w:spacing w:line="360" w:lineRule="auto"/>
        <w:ind w:left="397" w:right="-454"/>
        <w:jc w:val="both"/>
        <w:rPr>
          <w:sz w:val="26"/>
          <w:szCs w:val="26"/>
        </w:rPr>
      </w:pPr>
      <w:r>
        <w:rPr>
          <w:rFonts w:hint="cs"/>
          <w:sz w:val="26"/>
          <w:szCs w:val="26"/>
          <w:rtl/>
        </w:rPr>
        <w:t>כעולה מנתונים אלה, על פני הדברים אבנת יכלה לחלק את הדיבידנדים</w:t>
      </w:r>
      <w:r w:rsidR="009D784D">
        <w:rPr>
          <w:rFonts w:hint="cs"/>
          <w:sz w:val="26"/>
          <w:szCs w:val="26"/>
          <w:rtl/>
        </w:rPr>
        <w:t xml:space="preserve"> הנ"ל</w:t>
      </w:r>
      <w:r>
        <w:rPr>
          <w:rFonts w:hint="cs"/>
          <w:sz w:val="26"/>
          <w:szCs w:val="26"/>
          <w:rtl/>
        </w:rPr>
        <w:t xml:space="preserve"> </w:t>
      </w:r>
      <w:r w:rsidRPr="00CF4B04">
        <w:rPr>
          <w:rFonts w:hint="cs"/>
          <w:b/>
          <w:bCs/>
          <w:sz w:val="26"/>
          <w:szCs w:val="26"/>
          <w:rtl/>
        </w:rPr>
        <w:t>מתוך הרווחים הרגילים בלבד</w:t>
      </w:r>
      <w:r>
        <w:rPr>
          <w:rFonts w:hint="cs"/>
          <w:sz w:val="26"/>
          <w:szCs w:val="26"/>
          <w:rtl/>
        </w:rPr>
        <w:t xml:space="preserve"> (</w:t>
      </w:r>
      <w:r w:rsidR="008A639A">
        <w:rPr>
          <w:rFonts w:hint="cs"/>
          <w:sz w:val="26"/>
          <w:szCs w:val="26"/>
          <w:rtl/>
        </w:rPr>
        <w:t>ל</w:t>
      </w:r>
      <w:r>
        <w:rPr>
          <w:rFonts w:hint="cs"/>
          <w:sz w:val="26"/>
          <w:szCs w:val="26"/>
          <w:rtl/>
        </w:rPr>
        <w:t>לא</w:t>
      </w:r>
      <w:r w:rsidR="008A639A">
        <w:rPr>
          <w:rFonts w:hint="cs"/>
          <w:sz w:val="26"/>
          <w:szCs w:val="26"/>
          <w:rtl/>
        </w:rPr>
        <w:t xml:space="preserve"> חלוקת</w:t>
      </w:r>
      <w:r>
        <w:rPr>
          <w:rFonts w:hint="cs"/>
          <w:sz w:val="26"/>
          <w:szCs w:val="26"/>
          <w:rtl/>
        </w:rPr>
        <w:t xml:space="preserve"> רווחי השערוך), כי הרי הרווחים הרגילים הסתכמו (בשתי התקופות הנ"ל)  בכ- </w:t>
      </w:r>
      <w:r>
        <w:rPr>
          <w:rFonts w:hint="cs"/>
          <w:b/>
          <w:bCs/>
          <w:sz w:val="26"/>
          <w:szCs w:val="26"/>
          <w:rtl/>
        </w:rPr>
        <w:t>146.3</w:t>
      </w:r>
      <w:r>
        <w:rPr>
          <w:rFonts w:hint="cs"/>
          <w:sz w:val="26"/>
          <w:szCs w:val="26"/>
          <w:rtl/>
        </w:rPr>
        <w:t xml:space="preserve"> מיליון ש"ח.</w:t>
      </w:r>
    </w:p>
    <w:p w:rsidR="009D784D" w:rsidRPr="008A639A" w:rsidRDefault="009D784D" w:rsidP="009D784D">
      <w:pPr>
        <w:pStyle w:val="ac"/>
        <w:rPr>
          <w:sz w:val="26"/>
          <w:szCs w:val="26"/>
          <w:rtl/>
        </w:rPr>
      </w:pPr>
    </w:p>
    <w:p w:rsidR="009D784D" w:rsidRDefault="009D784D" w:rsidP="00CF4B04">
      <w:pPr>
        <w:pStyle w:val="ac"/>
        <w:numPr>
          <w:ilvl w:val="0"/>
          <w:numId w:val="2"/>
        </w:numPr>
        <w:spacing w:line="360" w:lineRule="auto"/>
        <w:ind w:left="397" w:right="-454"/>
        <w:jc w:val="both"/>
        <w:rPr>
          <w:sz w:val="26"/>
          <w:szCs w:val="26"/>
        </w:rPr>
      </w:pPr>
      <w:r>
        <w:rPr>
          <w:rFonts w:hint="cs"/>
          <w:sz w:val="26"/>
          <w:szCs w:val="26"/>
          <w:rtl/>
        </w:rPr>
        <w:t xml:space="preserve">ערעור מס </w:t>
      </w:r>
      <w:r w:rsidR="008A639A">
        <w:rPr>
          <w:rFonts w:hint="cs"/>
          <w:sz w:val="26"/>
          <w:szCs w:val="26"/>
          <w:rtl/>
        </w:rPr>
        <w:t>ה</w:t>
      </w:r>
      <w:r>
        <w:rPr>
          <w:rFonts w:hint="cs"/>
          <w:sz w:val="26"/>
          <w:szCs w:val="26"/>
          <w:rtl/>
        </w:rPr>
        <w:t xml:space="preserve">הכנסה הנדון עוסק במיסוי של </w:t>
      </w:r>
      <w:r w:rsidRPr="002C7E3C">
        <w:rPr>
          <w:rFonts w:hint="cs"/>
          <w:b/>
          <w:bCs/>
          <w:sz w:val="26"/>
          <w:szCs w:val="26"/>
          <w:rtl/>
        </w:rPr>
        <w:t>המערערת</w:t>
      </w:r>
      <w:r w:rsidRPr="002C7E3C">
        <w:rPr>
          <w:rFonts w:hint="cs"/>
          <w:sz w:val="26"/>
          <w:szCs w:val="26"/>
          <w:rtl/>
        </w:rPr>
        <w:t>, כבעלת מניות</w:t>
      </w:r>
      <w:r w:rsidR="008A639A">
        <w:rPr>
          <w:rFonts w:hint="cs"/>
          <w:sz w:val="26"/>
          <w:szCs w:val="26"/>
          <w:rtl/>
        </w:rPr>
        <w:t>,</w:t>
      </w:r>
      <w:r>
        <w:rPr>
          <w:rFonts w:hint="cs"/>
          <w:sz w:val="26"/>
          <w:szCs w:val="26"/>
          <w:rtl/>
        </w:rPr>
        <w:t xml:space="preserve"> בשנים 2016 ו- 2017 בגין קבלת הדיבידנדים מידי אבנת כאמור. </w:t>
      </w:r>
    </w:p>
    <w:p w:rsidR="009D784D" w:rsidRDefault="009D784D" w:rsidP="009D784D">
      <w:pPr>
        <w:spacing w:line="360" w:lineRule="auto"/>
        <w:ind w:left="397"/>
        <w:jc w:val="both"/>
        <w:rPr>
          <w:sz w:val="26"/>
          <w:szCs w:val="26"/>
          <w:rtl/>
        </w:rPr>
      </w:pPr>
    </w:p>
    <w:p w:rsidR="009D784D" w:rsidRDefault="009D784D" w:rsidP="008A639A">
      <w:pPr>
        <w:pStyle w:val="ac"/>
        <w:spacing w:line="360" w:lineRule="auto"/>
        <w:ind w:left="397" w:right="-454"/>
        <w:jc w:val="both"/>
        <w:rPr>
          <w:sz w:val="26"/>
          <w:szCs w:val="26"/>
          <w:rtl/>
        </w:rPr>
      </w:pPr>
      <w:r>
        <w:rPr>
          <w:rFonts w:hint="cs"/>
          <w:sz w:val="26"/>
          <w:szCs w:val="26"/>
          <w:rtl/>
        </w:rPr>
        <w:t xml:space="preserve">כפי שיפורט בהמשך, המערערת גורסת כי סכומי הדיבידנד כלל אינם חייבים במס בידיה, וזאת מכוח הוראות סעיף 126(ב) לפקודת מס הכנסה.  </w:t>
      </w:r>
    </w:p>
    <w:p w:rsidR="009D784D" w:rsidRDefault="009D784D" w:rsidP="009D784D">
      <w:pPr>
        <w:ind w:left="397"/>
        <w:rPr>
          <w:sz w:val="26"/>
          <w:szCs w:val="26"/>
          <w:rtl/>
        </w:rPr>
      </w:pPr>
    </w:p>
    <w:p w:rsidR="009D784D" w:rsidRDefault="009D784D" w:rsidP="009D784D">
      <w:pPr>
        <w:pStyle w:val="ac"/>
        <w:spacing w:line="360" w:lineRule="auto"/>
        <w:ind w:left="397" w:right="-454"/>
        <w:jc w:val="both"/>
        <w:rPr>
          <w:sz w:val="26"/>
          <w:szCs w:val="26"/>
          <w:rtl/>
        </w:rPr>
      </w:pPr>
      <w:r>
        <w:rPr>
          <w:rFonts w:hint="cs"/>
          <w:sz w:val="26"/>
          <w:szCs w:val="26"/>
          <w:rtl/>
        </w:rPr>
        <w:t xml:space="preserve">לעומת זאת, עמדת רשות המסים היא שאף אם הרווחים החשבונאיים הרגילים (מפעילות שוטפת) הספיקו לכאורה לשמש מקור לסכומי הדיבידנד שחולקו, אין להחיל את הוראות סעיף </w:t>
      </w:r>
      <w:r w:rsidR="008A639A">
        <w:rPr>
          <w:rFonts w:hint="cs"/>
          <w:sz w:val="26"/>
          <w:szCs w:val="26"/>
          <w:rtl/>
        </w:rPr>
        <w:t>126(ב) לפקודה לגבי אותו חלק מה</w:t>
      </w:r>
      <w:r>
        <w:rPr>
          <w:rFonts w:hint="cs"/>
          <w:sz w:val="26"/>
          <w:szCs w:val="26"/>
          <w:rtl/>
        </w:rPr>
        <w:t xml:space="preserve">ם שמייצג את </w:t>
      </w:r>
      <w:r w:rsidRPr="008A639A">
        <w:rPr>
          <w:rFonts w:hint="cs"/>
          <w:b/>
          <w:bCs/>
          <w:sz w:val="26"/>
          <w:szCs w:val="26"/>
          <w:rtl/>
        </w:rPr>
        <w:t>סכומי הפחת</w:t>
      </w:r>
      <w:r>
        <w:rPr>
          <w:rFonts w:hint="cs"/>
          <w:sz w:val="26"/>
          <w:szCs w:val="26"/>
          <w:rtl/>
        </w:rPr>
        <w:t xml:space="preserve"> שנתבעו על ידי אבנת לצורכי מס בלבד, ו</w:t>
      </w:r>
      <w:r w:rsidR="008A639A">
        <w:rPr>
          <w:rFonts w:hint="cs"/>
          <w:sz w:val="26"/>
          <w:szCs w:val="26"/>
          <w:rtl/>
        </w:rPr>
        <w:t xml:space="preserve">אשר </w:t>
      </w:r>
      <w:r w:rsidR="00654AC8">
        <w:rPr>
          <w:rFonts w:hint="cs"/>
          <w:sz w:val="26"/>
          <w:szCs w:val="26"/>
          <w:rtl/>
        </w:rPr>
        <w:t>לא נרשמו בדו</w:t>
      </w:r>
      <w:r>
        <w:rPr>
          <w:rFonts w:hint="cs"/>
          <w:sz w:val="26"/>
          <w:szCs w:val="26"/>
          <w:rtl/>
        </w:rPr>
        <w:t xml:space="preserve">חות הכספיים </w:t>
      </w:r>
      <w:r w:rsidR="008A639A">
        <w:rPr>
          <w:rFonts w:hint="cs"/>
          <w:sz w:val="26"/>
          <w:szCs w:val="26"/>
          <w:rtl/>
        </w:rPr>
        <w:t xml:space="preserve">של אבנת </w:t>
      </w:r>
      <w:r>
        <w:rPr>
          <w:rFonts w:hint="cs"/>
          <w:sz w:val="26"/>
          <w:szCs w:val="26"/>
          <w:rtl/>
        </w:rPr>
        <w:t>כהוצאה בגלל אימוץ מודל השווי ההוגן.</w:t>
      </w:r>
    </w:p>
    <w:p w:rsidR="009D784D" w:rsidRDefault="009D784D" w:rsidP="00FB613C">
      <w:pPr>
        <w:pStyle w:val="ac"/>
        <w:spacing w:line="360" w:lineRule="auto"/>
        <w:ind w:left="397" w:right="-454"/>
        <w:jc w:val="both"/>
        <w:rPr>
          <w:sz w:val="26"/>
          <w:szCs w:val="26"/>
          <w:rtl/>
        </w:rPr>
      </w:pPr>
    </w:p>
    <w:p w:rsidR="00FB613C" w:rsidRPr="00C56BA0" w:rsidRDefault="00176AAD" w:rsidP="00176AAD">
      <w:pPr>
        <w:pStyle w:val="ac"/>
        <w:numPr>
          <w:ilvl w:val="0"/>
          <w:numId w:val="2"/>
        </w:numPr>
        <w:spacing w:line="360" w:lineRule="auto"/>
        <w:ind w:left="397" w:right="-454"/>
        <w:jc w:val="both"/>
        <w:rPr>
          <w:sz w:val="26"/>
          <w:szCs w:val="26"/>
        </w:rPr>
      </w:pPr>
      <w:r>
        <w:rPr>
          <w:rFonts w:hint="cs"/>
          <w:sz w:val="26"/>
          <w:szCs w:val="26"/>
          <w:rtl/>
        </w:rPr>
        <w:t>לפי גישת המשיב,</w:t>
      </w:r>
      <w:r w:rsidR="00FB613C" w:rsidRPr="00C56BA0">
        <w:rPr>
          <w:rFonts w:hint="cs"/>
          <w:sz w:val="26"/>
          <w:szCs w:val="26"/>
          <w:rtl/>
        </w:rPr>
        <w:t xml:space="preserve"> מאחר שנתבעו הוצאות פחת על ידי אבנת </w:t>
      </w:r>
      <w:r w:rsidR="00FB613C" w:rsidRPr="00C56BA0">
        <w:rPr>
          <w:rFonts w:hint="cs"/>
          <w:b/>
          <w:bCs/>
          <w:sz w:val="26"/>
          <w:szCs w:val="26"/>
          <w:rtl/>
        </w:rPr>
        <w:t>רק לצורכי מס</w:t>
      </w:r>
      <w:r w:rsidR="00FB613C" w:rsidRPr="00C56BA0">
        <w:rPr>
          <w:rFonts w:hint="cs"/>
          <w:sz w:val="26"/>
          <w:szCs w:val="26"/>
          <w:rtl/>
        </w:rPr>
        <w:t xml:space="preserve"> ולא נרשמו הוצאות פחת בחישוב הרווח החשבונאי (בגלל יישום מודל השווי ההוגן), </w:t>
      </w:r>
      <w:r w:rsidR="004C3C7C" w:rsidRPr="00C56BA0">
        <w:rPr>
          <w:rFonts w:hint="cs"/>
          <w:sz w:val="26"/>
          <w:szCs w:val="26"/>
          <w:rtl/>
        </w:rPr>
        <w:t>נוצר פער</w:t>
      </w:r>
      <w:r w:rsidR="00FB613C" w:rsidRPr="00C56BA0">
        <w:rPr>
          <w:rFonts w:hint="cs"/>
          <w:sz w:val="26"/>
          <w:szCs w:val="26"/>
          <w:rtl/>
        </w:rPr>
        <w:t xml:space="preserve"> בין המס </w:t>
      </w:r>
      <w:r w:rsidR="00FB613C" w:rsidRPr="00C56BA0">
        <w:rPr>
          <w:rFonts w:hint="cs"/>
          <w:sz w:val="26"/>
          <w:szCs w:val="26"/>
          <w:rtl/>
        </w:rPr>
        <w:lastRenderedPageBreak/>
        <w:t>ובין החשבונאות</w:t>
      </w:r>
      <w:r w:rsidR="004C3C7C">
        <w:rPr>
          <w:rStyle w:val="af"/>
          <w:sz w:val="26"/>
          <w:szCs w:val="26"/>
          <w:rtl/>
        </w:rPr>
        <w:footnoteReference w:id="1"/>
      </w:r>
      <w:r w:rsidR="00C96C25" w:rsidRPr="00C56BA0">
        <w:rPr>
          <w:rFonts w:hint="cs"/>
          <w:sz w:val="26"/>
          <w:szCs w:val="26"/>
          <w:rtl/>
        </w:rPr>
        <w:t>.</w:t>
      </w:r>
      <w:r w:rsidR="00FB613C" w:rsidRPr="00C56BA0">
        <w:rPr>
          <w:rFonts w:hint="cs"/>
          <w:sz w:val="26"/>
          <w:szCs w:val="26"/>
          <w:rtl/>
        </w:rPr>
        <w:t xml:space="preserve"> </w:t>
      </w:r>
      <w:r w:rsidR="00C96C25" w:rsidRPr="00C56BA0">
        <w:rPr>
          <w:rFonts w:hint="cs"/>
          <w:sz w:val="26"/>
          <w:szCs w:val="26"/>
          <w:rtl/>
        </w:rPr>
        <w:t xml:space="preserve">פער זה </w:t>
      </w:r>
      <w:r>
        <w:rPr>
          <w:rFonts w:hint="cs"/>
          <w:sz w:val="26"/>
          <w:szCs w:val="26"/>
          <w:rtl/>
        </w:rPr>
        <w:t>עשוי</w:t>
      </w:r>
      <w:r w:rsidR="00FB613C" w:rsidRPr="00C56BA0">
        <w:rPr>
          <w:rFonts w:hint="cs"/>
          <w:sz w:val="26"/>
          <w:szCs w:val="26"/>
          <w:rtl/>
        </w:rPr>
        <w:t xml:space="preserve"> להיסגר בעתיד</w:t>
      </w:r>
      <w:r w:rsidR="00C96C25" w:rsidRPr="00C56BA0">
        <w:rPr>
          <w:rFonts w:hint="cs"/>
          <w:sz w:val="26"/>
          <w:szCs w:val="26"/>
          <w:rtl/>
        </w:rPr>
        <w:t xml:space="preserve"> רק אם וכאשר יימכר הנדל"ן המניב והפחת שנתבע לצורכי מס במהלך תקופת החזקת הנכס ישמש </w:t>
      </w:r>
      <w:r w:rsidR="00C96C25" w:rsidRPr="00C56BA0">
        <w:rPr>
          <w:rFonts w:hint="cs"/>
          <w:b/>
          <w:bCs/>
          <w:sz w:val="26"/>
          <w:szCs w:val="26"/>
          <w:rtl/>
        </w:rPr>
        <w:t xml:space="preserve">להגדיל </w:t>
      </w:r>
      <w:r w:rsidR="00C56BA0" w:rsidRPr="00C56BA0">
        <w:rPr>
          <w:rFonts w:hint="cs"/>
          <w:sz w:val="26"/>
          <w:szCs w:val="26"/>
          <w:rtl/>
        </w:rPr>
        <w:t>את סכום רווח ההון שיופק ממכירת הנכ</w:t>
      </w:r>
      <w:r w:rsidR="00654AC8">
        <w:rPr>
          <w:rFonts w:hint="cs"/>
          <w:sz w:val="26"/>
          <w:szCs w:val="26"/>
          <w:rtl/>
        </w:rPr>
        <w:t>ס</w:t>
      </w:r>
      <w:r w:rsidR="00C56BA0" w:rsidRPr="00C56BA0">
        <w:rPr>
          <w:rFonts w:hint="cs"/>
          <w:sz w:val="26"/>
          <w:szCs w:val="26"/>
          <w:rtl/>
        </w:rPr>
        <w:t xml:space="preserve">. </w:t>
      </w:r>
      <w:r w:rsidR="00C56BA0">
        <w:rPr>
          <w:rFonts w:hint="cs"/>
          <w:sz w:val="26"/>
          <w:szCs w:val="26"/>
          <w:rtl/>
        </w:rPr>
        <w:t>מפני ש</w:t>
      </w:r>
      <w:r w:rsidR="00C96C25" w:rsidRPr="00C56BA0">
        <w:rPr>
          <w:rFonts w:hint="cs"/>
          <w:sz w:val="26"/>
          <w:szCs w:val="26"/>
          <w:rtl/>
        </w:rPr>
        <w:t xml:space="preserve">מכירה עתידית כאמור היא </w:t>
      </w:r>
      <w:r w:rsidR="00FB613C" w:rsidRPr="00C56BA0">
        <w:rPr>
          <w:rFonts w:hint="cs"/>
          <w:sz w:val="26"/>
          <w:szCs w:val="26"/>
          <w:rtl/>
        </w:rPr>
        <w:t>אירו</w:t>
      </w:r>
      <w:r w:rsidR="00816DE4" w:rsidRPr="00C56BA0">
        <w:rPr>
          <w:rFonts w:hint="cs"/>
          <w:sz w:val="26"/>
          <w:szCs w:val="26"/>
          <w:rtl/>
        </w:rPr>
        <w:t xml:space="preserve">ע שהתרחשותו היא </w:t>
      </w:r>
      <w:r w:rsidR="00816DE4" w:rsidRPr="00C56BA0">
        <w:rPr>
          <w:rFonts w:hint="cs"/>
          <w:b/>
          <w:bCs/>
          <w:sz w:val="26"/>
          <w:szCs w:val="26"/>
          <w:rtl/>
        </w:rPr>
        <w:t>בשליטת אבנת עצמה</w:t>
      </w:r>
      <w:r w:rsidR="00816DE4" w:rsidRPr="00C56BA0">
        <w:rPr>
          <w:rFonts w:hint="cs"/>
          <w:sz w:val="26"/>
          <w:szCs w:val="26"/>
          <w:rtl/>
        </w:rPr>
        <w:t xml:space="preserve">, </w:t>
      </w:r>
      <w:r w:rsidR="00C56BA0">
        <w:rPr>
          <w:rFonts w:hint="cs"/>
          <w:sz w:val="26"/>
          <w:szCs w:val="26"/>
          <w:rtl/>
        </w:rPr>
        <w:t xml:space="preserve">אזי לגישת המשיב </w:t>
      </w:r>
      <w:r>
        <w:rPr>
          <w:rFonts w:hint="cs"/>
          <w:sz w:val="26"/>
          <w:szCs w:val="26"/>
          <w:rtl/>
        </w:rPr>
        <w:t>אין מקום ל</w:t>
      </w:r>
      <w:r w:rsidR="00816DE4" w:rsidRPr="00C56BA0">
        <w:rPr>
          <w:rFonts w:hint="cs"/>
          <w:sz w:val="26"/>
          <w:szCs w:val="26"/>
          <w:rtl/>
        </w:rPr>
        <w:t>ה</w:t>
      </w:r>
      <w:r>
        <w:rPr>
          <w:rFonts w:hint="cs"/>
          <w:sz w:val="26"/>
          <w:szCs w:val="26"/>
          <w:rtl/>
        </w:rPr>
        <w:t>ח</w:t>
      </w:r>
      <w:r w:rsidR="00816DE4" w:rsidRPr="00C56BA0">
        <w:rPr>
          <w:rFonts w:hint="cs"/>
          <w:sz w:val="26"/>
          <w:szCs w:val="26"/>
          <w:rtl/>
        </w:rPr>
        <w:t xml:space="preserve">יל את סעיף 126(ב) אצל המערערת לגבי דיבידנד </w:t>
      </w:r>
      <w:r w:rsidR="00816DE4" w:rsidRPr="00C56BA0">
        <w:rPr>
          <w:rFonts w:hint="cs"/>
          <w:b/>
          <w:bCs/>
          <w:sz w:val="26"/>
          <w:szCs w:val="26"/>
          <w:rtl/>
        </w:rPr>
        <w:t xml:space="preserve">בגובה הפחת שנתבע </w:t>
      </w:r>
      <w:r w:rsidR="00816DE4" w:rsidRPr="00C56BA0">
        <w:rPr>
          <w:rFonts w:hint="cs"/>
          <w:sz w:val="26"/>
          <w:szCs w:val="26"/>
          <w:rtl/>
        </w:rPr>
        <w:t xml:space="preserve">מפני שסכום זה לא חוייב במס בידי אבנת </w:t>
      </w:r>
      <w:r w:rsidR="00C96C25" w:rsidRPr="00C56BA0">
        <w:rPr>
          <w:rFonts w:hint="cs"/>
          <w:sz w:val="26"/>
          <w:szCs w:val="26"/>
          <w:rtl/>
        </w:rPr>
        <w:t xml:space="preserve">בעבר </w:t>
      </w:r>
      <w:r w:rsidR="00816DE4" w:rsidRPr="00C56BA0">
        <w:rPr>
          <w:rFonts w:hint="cs"/>
          <w:sz w:val="26"/>
          <w:szCs w:val="26"/>
          <w:rtl/>
        </w:rPr>
        <w:t xml:space="preserve">ועלול שלא להתחייב </w:t>
      </w:r>
      <w:r w:rsidR="00C96C25" w:rsidRPr="00C56BA0">
        <w:rPr>
          <w:rFonts w:hint="cs"/>
          <w:sz w:val="26"/>
          <w:szCs w:val="26"/>
          <w:rtl/>
        </w:rPr>
        <w:t xml:space="preserve">במס </w:t>
      </w:r>
      <w:r w:rsidR="00C56BA0">
        <w:rPr>
          <w:rFonts w:hint="cs"/>
          <w:sz w:val="26"/>
          <w:szCs w:val="26"/>
          <w:rtl/>
        </w:rPr>
        <w:t>בידיה גם בעתיד.</w:t>
      </w:r>
    </w:p>
    <w:p w:rsidR="00816DE4" w:rsidRPr="00C56BA0" w:rsidRDefault="00816DE4" w:rsidP="00816DE4">
      <w:pPr>
        <w:pStyle w:val="ac"/>
        <w:spacing w:line="360" w:lineRule="auto"/>
        <w:ind w:left="397" w:right="-454"/>
        <w:jc w:val="both"/>
        <w:rPr>
          <w:sz w:val="26"/>
          <w:szCs w:val="26"/>
        </w:rPr>
      </w:pPr>
    </w:p>
    <w:p w:rsidR="00794D9E" w:rsidRDefault="00816DE4" w:rsidP="00654AC8">
      <w:pPr>
        <w:pStyle w:val="ac"/>
        <w:numPr>
          <w:ilvl w:val="0"/>
          <w:numId w:val="2"/>
        </w:numPr>
        <w:spacing w:line="360" w:lineRule="auto"/>
        <w:ind w:left="397" w:right="-454"/>
        <w:jc w:val="both"/>
        <w:rPr>
          <w:sz w:val="26"/>
          <w:szCs w:val="26"/>
        </w:rPr>
      </w:pPr>
      <w:r w:rsidRPr="00C56BA0">
        <w:rPr>
          <w:rFonts w:hint="cs"/>
          <w:sz w:val="26"/>
          <w:szCs w:val="26"/>
          <w:rtl/>
        </w:rPr>
        <w:t>מכיוון שכך</w:t>
      </w:r>
      <w:r>
        <w:rPr>
          <w:rFonts w:hint="cs"/>
          <w:sz w:val="26"/>
          <w:szCs w:val="26"/>
          <w:rtl/>
        </w:rPr>
        <w:t>, על פי גישת המשיב, ה</w:t>
      </w:r>
      <w:r w:rsidR="00C96C25">
        <w:rPr>
          <w:rFonts w:hint="cs"/>
          <w:sz w:val="26"/>
          <w:szCs w:val="26"/>
          <w:rtl/>
        </w:rPr>
        <w:t>רווח החשבונאי הרגיל (שלא נבע</w:t>
      </w:r>
      <w:r w:rsidR="00654AC8">
        <w:rPr>
          <w:rFonts w:hint="cs"/>
          <w:sz w:val="26"/>
          <w:szCs w:val="26"/>
          <w:rtl/>
        </w:rPr>
        <w:t xml:space="preserve"> מעליית ערכו של</w:t>
      </w:r>
      <w:r>
        <w:rPr>
          <w:rFonts w:hint="cs"/>
          <w:sz w:val="26"/>
          <w:szCs w:val="26"/>
          <w:rtl/>
        </w:rPr>
        <w:t xml:space="preserve"> </w:t>
      </w:r>
      <w:r w:rsidR="00654AC8">
        <w:rPr>
          <w:rFonts w:hint="cs"/>
          <w:sz w:val="26"/>
          <w:szCs w:val="26"/>
          <w:rtl/>
        </w:rPr>
        <w:t>ה</w:t>
      </w:r>
      <w:r>
        <w:rPr>
          <w:rFonts w:hint="cs"/>
          <w:sz w:val="26"/>
          <w:szCs w:val="26"/>
          <w:rtl/>
        </w:rPr>
        <w:t>נדל"ן</w:t>
      </w:r>
      <w:r w:rsidR="00654AC8">
        <w:rPr>
          <w:rFonts w:hint="cs"/>
          <w:sz w:val="26"/>
          <w:szCs w:val="26"/>
          <w:rtl/>
        </w:rPr>
        <w:t>,</w:t>
      </w:r>
      <w:r>
        <w:rPr>
          <w:rFonts w:hint="cs"/>
          <w:sz w:val="26"/>
          <w:szCs w:val="26"/>
          <w:rtl/>
        </w:rPr>
        <w:t xml:space="preserve"> </w:t>
      </w:r>
      <w:r w:rsidR="00654AC8">
        <w:rPr>
          <w:rFonts w:hint="cs"/>
          <w:sz w:val="26"/>
          <w:szCs w:val="26"/>
          <w:rtl/>
        </w:rPr>
        <w:t>ה</w:t>
      </w:r>
      <w:r>
        <w:rPr>
          <w:rFonts w:hint="cs"/>
          <w:sz w:val="26"/>
          <w:szCs w:val="26"/>
          <w:rtl/>
        </w:rPr>
        <w:t>מניב) אשר עמד לחלוקה בשתי התקופות ה</w:t>
      </w:r>
      <w:r w:rsidR="00176AAD">
        <w:rPr>
          <w:rFonts w:hint="cs"/>
          <w:sz w:val="26"/>
          <w:szCs w:val="26"/>
          <w:rtl/>
        </w:rPr>
        <w:t>נ"ל ויכול היה להתקבל בידי שתי ב</w:t>
      </w:r>
      <w:r>
        <w:rPr>
          <w:rFonts w:hint="cs"/>
          <w:sz w:val="26"/>
          <w:szCs w:val="26"/>
          <w:rtl/>
        </w:rPr>
        <w:t>ע</w:t>
      </w:r>
      <w:r w:rsidR="00176AAD">
        <w:rPr>
          <w:rFonts w:hint="cs"/>
          <w:sz w:val="26"/>
          <w:szCs w:val="26"/>
          <w:rtl/>
        </w:rPr>
        <w:t>ל</w:t>
      </w:r>
      <w:r>
        <w:rPr>
          <w:rFonts w:hint="cs"/>
          <w:sz w:val="26"/>
          <w:szCs w:val="26"/>
          <w:rtl/>
        </w:rPr>
        <w:t xml:space="preserve">ות המניות </w:t>
      </w:r>
      <w:r w:rsidRPr="00C96C25">
        <w:rPr>
          <w:rFonts w:hint="cs"/>
          <w:b/>
          <w:bCs/>
          <w:sz w:val="26"/>
          <w:szCs w:val="26"/>
          <w:rtl/>
        </w:rPr>
        <w:t>ללא חיוב במס חברות אצלן</w:t>
      </w:r>
      <w:r>
        <w:rPr>
          <w:rFonts w:hint="cs"/>
          <w:sz w:val="26"/>
          <w:szCs w:val="26"/>
          <w:rtl/>
        </w:rPr>
        <w:t xml:space="preserve"> בהתאם לסעיף 126(ב) לפקודה</w:t>
      </w:r>
      <w:r w:rsidR="00654AC8">
        <w:rPr>
          <w:rFonts w:hint="cs"/>
          <w:sz w:val="26"/>
          <w:szCs w:val="26"/>
          <w:rtl/>
        </w:rPr>
        <w:t>,</w:t>
      </w:r>
      <w:r>
        <w:rPr>
          <w:rFonts w:hint="cs"/>
          <w:sz w:val="26"/>
          <w:szCs w:val="26"/>
          <w:rtl/>
        </w:rPr>
        <w:t xml:space="preserve"> </w:t>
      </w:r>
      <w:r>
        <w:rPr>
          <w:rFonts w:hint="cs"/>
          <w:b/>
          <w:bCs/>
          <w:sz w:val="26"/>
          <w:szCs w:val="26"/>
          <w:rtl/>
        </w:rPr>
        <w:t>לא היה</w:t>
      </w:r>
      <w:r>
        <w:rPr>
          <w:rFonts w:hint="cs"/>
          <w:sz w:val="26"/>
          <w:szCs w:val="26"/>
          <w:rtl/>
        </w:rPr>
        <w:t xml:space="preserve"> כ- 146.3 </w:t>
      </w:r>
      <w:r>
        <w:rPr>
          <w:rFonts w:hint="cs"/>
          <w:b/>
          <w:bCs/>
          <w:sz w:val="26"/>
          <w:szCs w:val="26"/>
          <w:rtl/>
        </w:rPr>
        <w:t xml:space="preserve"> </w:t>
      </w:r>
      <w:r>
        <w:rPr>
          <w:rFonts w:hint="cs"/>
          <w:sz w:val="26"/>
          <w:szCs w:val="26"/>
          <w:rtl/>
        </w:rPr>
        <w:t>מיל</w:t>
      </w:r>
      <w:r w:rsidR="00304041">
        <w:rPr>
          <w:rFonts w:hint="cs"/>
          <w:sz w:val="26"/>
          <w:szCs w:val="26"/>
          <w:rtl/>
        </w:rPr>
        <w:t>יו</w:t>
      </w:r>
      <w:r w:rsidRPr="00816DE4">
        <w:rPr>
          <w:rFonts w:hint="cs"/>
          <w:sz w:val="26"/>
          <w:szCs w:val="26"/>
          <w:rtl/>
        </w:rPr>
        <w:t>ן</w:t>
      </w:r>
      <w:r>
        <w:rPr>
          <w:rFonts w:hint="cs"/>
          <w:b/>
          <w:bCs/>
          <w:sz w:val="26"/>
          <w:szCs w:val="26"/>
          <w:rtl/>
        </w:rPr>
        <w:t xml:space="preserve"> </w:t>
      </w:r>
      <w:r w:rsidR="00304041" w:rsidRPr="00C96C25">
        <w:rPr>
          <w:rFonts w:hint="cs"/>
          <w:sz w:val="26"/>
          <w:szCs w:val="26"/>
          <w:rtl/>
        </w:rPr>
        <w:t>ש"ח</w:t>
      </w:r>
      <w:r w:rsidRPr="00C96C25">
        <w:rPr>
          <w:rFonts w:hint="cs"/>
          <w:sz w:val="26"/>
          <w:szCs w:val="26"/>
          <w:rtl/>
        </w:rPr>
        <w:t>,</w:t>
      </w:r>
      <w:r>
        <w:rPr>
          <w:rFonts w:hint="cs"/>
          <w:b/>
          <w:bCs/>
          <w:sz w:val="26"/>
          <w:szCs w:val="26"/>
          <w:rtl/>
        </w:rPr>
        <w:t xml:space="preserve"> </w:t>
      </w:r>
      <w:r w:rsidRPr="00304041">
        <w:rPr>
          <w:rFonts w:hint="cs"/>
          <w:sz w:val="26"/>
          <w:szCs w:val="26"/>
          <w:rtl/>
        </w:rPr>
        <w:t xml:space="preserve">אלא כ- </w:t>
      </w:r>
      <w:r w:rsidRPr="00304041">
        <w:rPr>
          <w:rFonts w:hint="cs"/>
          <w:b/>
          <w:bCs/>
          <w:sz w:val="26"/>
          <w:szCs w:val="26"/>
          <w:rtl/>
        </w:rPr>
        <w:t>27</w:t>
      </w:r>
      <w:r w:rsidRPr="00304041">
        <w:rPr>
          <w:rFonts w:hint="cs"/>
          <w:sz w:val="26"/>
          <w:szCs w:val="26"/>
          <w:rtl/>
        </w:rPr>
        <w:t xml:space="preserve"> מיליון </w:t>
      </w:r>
      <w:r w:rsidR="00304041">
        <w:rPr>
          <w:rFonts w:hint="cs"/>
          <w:sz w:val="26"/>
          <w:szCs w:val="26"/>
          <w:rtl/>
        </w:rPr>
        <w:t>ש"ח</w:t>
      </w:r>
      <w:r w:rsidRPr="00304041">
        <w:rPr>
          <w:rFonts w:hint="cs"/>
          <w:sz w:val="26"/>
          <w:szCs w:val="26"/>
          <w:rtl/>
        </w:rPr>
        <w:t xml:space="preserve"> בלבד</w:t>
      </w:r>
      <w:r w:rsidR="00C8284C">
        <w:rPr>
          <w:rFonts w:hint="cs"/>
          <w:sz w:val="26"/>
          <w:szCs w:val="26"/>
          <w:rtl/>
        </w:rPr>
        <w:t xml:space="preserve"> (=22.7 - 96.5 - 146.3</w:t>
      </w:r>
      <w:r w:rsidR="00C96C25">
        <w:rPr>
          <w:rFonts w:hint="cs"/>
          <w:sz w:val="26"/>
          <w:szCs w:val="26"/>
          <w:rtl/>
        </w:rPr>
        <w:t xml:space="preserve">, בקירוב), כלומר סכומי הרווח הרגיל פחות סכומי הפחת לצורכי מס. </w:t>
      </w:r>
      <w:r w:rsidR="00CD5356">
        <w:rPr>
          <w:rFonts w:hint="cs"/>
          <w:sz w:val="26"/>
          <w:szCs w:val="26"/>
          <w:rtl/>
        </w:rPr>
        <w:t xml:space="preserve"> </w:t>
      </w:r>
    </w:p>
    <w:p w:rsidR="00794D9E" w:rsidRPr="00794D9E" w:rsidRDefault="00794D9E" w:rsidP="00794D9E">
      <w:pPr>
        <w:pStyle w:val="ac"/>
        <w:rPr>
          <w:b/>
          <w:bCs/>
          <w:sz w:val="26"/>
          <w:szCs w:val="26"/>
          <w:rtl/>
        </w:rPr>
      </w:pPr>
    </w:p>
    <w:p w:rsidR="00816DE4" w:rsidRDefault="00816DE4" w:rsidP="00304041">
      <w:pPr>
        <w:pStyle w:val="ac"/>
        <w:numPr>
          <w:ilvl w:val="0"/>
          <w:numId w:val="2"/>
        </w:numPr>
        <w:spacing w:line="360" w:lineRule="auto"/>
        <w:ind w:left="397" w:right="-454"/>
        <w:jc w:val="both"/>
        <w:rPr>
          <w:sz w:val="26"/>
          <w:szCs w:val="26"/>
        </w:rPr>
      </w:pPr>
      <w:r>
        <w:rPr>
          <w:rFonts w:hint="cs"/>
          <w:b/>
          <w:bCs/>
          <w:sz w:val="26"/>
          <w:szCs w:val="26"/>
          <w:rtl/>
        </w:rPr>
        <w:t xml:space="preserve"> </w:t>
      </w:r>
      <w:r w:rsidR="00654AC8">
        <w:rPr>
          <w:rFonts w:hint="cs"/>
          <w:sz w:val="26"/>
          <w:szCs w:val="26"/>
          <w:rtl/>
        </w:rPr>
        <w:t>עד כאן הקדמה כללית לגבי הסוגי</w:t>
      </w:r>
      <w:r w:rsidR="000473DF">
        <w:rPr>
          <w:rFonts w:hint="cs"/>
          <w:sz w:val="26"/>
          <w:szCs w:val="26"/>
          <w:rtl/>
        </w:rPr>
        <w:t>ה העיקרית והראשית שמתעוררת בערעור זה. הצדדים חלוקים גם בקשר לשורה של סוגיות משנה הכרוכות בסוגיה הראשית,</w:t>
      </w:r>
      <w:r w:rsidR="00176AAD">
        <w:rPr>
          <w:rFonts w:hint="cs"/>
          <w:sz w:val="26"/>
          <w:szCs w:val="26"/>
          <w:rtl/>
        </w:rPr>
        <w:t xml:space="preserve"> </w:t>
      </w:r>
      <w:r w:rsidR="000473DF">
        <w:rPr>
          <w:rFonts w:hint="cs"/>
          <w:sz w:val="26"/>
          <w:szCs w:val="26"/>
          <w:rtl/>
        </w:rPr>
        <w:t>אולם הצורך להכריע בהן עשוי להתייתר בהתאם להכרעה בסוגיה העיקרית</w:t>
      </w:r>
      <w:r w:rsidR="00C8284C">
        <w:rPr>
          <w:rFonts w:hint="cs"/>
          <w:sz w:val="26"/>
          <w:szCs w:val="26"/>
          <w:rtl/>
        </w:rPr>
        <w:t>.</w:t>
      </w:r>
      <w:r w:rsidR="000473DF">
        <w:rPr>
          <w:rFonts w:hint="cs"/>
          <w:sz w:val="26"/>
          <w:szCs w:val="26"/>
          <w:rtl/>
        </w:rPr>
        <w:t xml:space="preserve"> </w:t>
      </w:r>
    </w:p>
    <w:p w:rsidR="000473DF" w:rsidRPr="000473DF" w:rsidRDefault="000473DF" w:rsidP="000473DF">
      <w:pPr>
        <w:pStyle w:val="ac"/>
        <w:spacing w:line="360" w:lineRule="auto"/>
        <w:ind w:left="397" w:right="-454"/>
        <w:jc w:val="both"/>
        <w:rPr>
          <w:sz w:val="26"/>
          <w:szCs w:val="26"/>
          <w:rtl/>
        </w:rPr>
      </w:pPr>
    </w:p>
    <w:p w:rsidR="000473DF" w:rsidRDefault="000473DF" w:rsidP="000473DF">
      <w:pPr>
        <w:pStyle w:val="ac"/>
        <w:spacing w:line="360" w:lineRule="auto"/>
        <w:ind w:left="397" w:right="-454"/>
        <w:jc w:val="both"/>
        <w:rPr>
          <w:b/>
          <w:bCs/>
          <w:sz w:val="26"/>
          <w:szCs w:val="26"/>
          <w:rtl/>
        </w:rPr>
      </w:pPr>
      <w:r>
        <w:rPr>
          <w:rFonts w:hint="cs"/>
          <w:sz w:val="26"/>
          <w:szCs w:val="26"/>
          <w:rtl/>
        </w:rPr>
        <w:t>על כן, לפי החלטתי מיום 10.6.2023 (סעיף 6(א) ו- (ו))</w:t>
      </w:r>
      <w:r w:rsidR="00C8284C">
        <w:rPr>
          <w:rFonts w:hint="cs"/>
          <w:sz w:val="26"/>
          <w:szCs w:val="26"/>
          <w:rtl/>
        </w:rPr>
        <w:t>,</w:t>
      </w:r>
      <w:r>
        <w:rPr>
          <w:rFonts w:hint="cs"/>
          <w:sz w:val="26"/>
          <w:szCs w:val="26"/>
          <w:rtl/>
        </w:rPr>
        <w:t xml:space="preserve"> נקבע כי </w:t>
      </w:r>
      <w:r w:rsidRPr="000473DF">
        <w:rPr>
          <w:rFonts w:hint="cs"/>
          <w:b/>
          <w:bCs/>
          <w:sz w:val="26"/>
          <w:szCs w:val="26"/>
          <w:rtl/>
        </w:rPr>
        <w:t>"הדיון בערעור יחולק כך שקודם כל תוכרע הסוגייה הראשית ...</w:t>
      </w:r>
      <w:r>
        <w:rPr>
          <w:rFonts w:hint="cs"/>
          <w:sz w:val="26"/>
          <w:szCs w:val="26"/>
          <w:rtl/>
        </w:rPr>
        <w:t xml:space="preserve"> [ו]</w:t>
      </w:r>
      <w:r w:rsidRPr="000473DF">
        <w:rPr>
          <w:rFonts w:hint="cs"/>
          <w:b/>
          <w:bCs/>
          <w:sz w:val="26"/>
          <w:szCs w:val="26"/>
          <w:rtl/>
        </w:rPr>
        <w:t>לאחר שתוכרע הסוגייה הראשית, בית המשפט ייתן החלטה בדבר המשך הדיון בסוגיות הנוספות שהועלו על ידי המערערת, ככל שיהיה בכך צורך"</w:t>
      </w:r>
      <w:r w:rsidRPr="00C8284C">
        <w:rPr>
          <w:rFonts w:hint="cs"/>
          <w:sz w:val="26"/>
          <w:szCs w:val="26"/>
          <w:rtl/>
        </w:rPr>
        <w:t>.</w:t>
      </w:r>
      <w:r>
        <w:rPr>
          <w:rFonts w:hint="cs"/>
          <w:b/>
          <w:bCs/>
          <w:sz w:val="26"/>
          <w:szCs w:val="26"/>
          <w:rtl/>
        </w:rPr>
        <w:t xml:space="preserve"> </w:t>
      </w:r>
    </w:p>
    <w:p w:rsidR="00782463" w:rsidRDefault="00782463" w:rsidP="000473DF">
      <w:pPr>
        <w:pStyle w:val="ac"/>
        <w:spacing w:line="360" w:lineRule="auto"/>
        <w:ind w:left="397" w:right="-454"/>
        <w:jc w:val="both"/>
        <w:rPr>
          <w:b/>
          <w:bCs/>
          <w:sz w:val="26"/>
          <w:szCs w:val="26"/>
          <w:rtl/>
        </w:rPr>
      </w:pPr>
    </w:p>
    <w:p w:rsidR="00782463" w:rsidRDefault="00782463" w:rsidP="000473DF">
      <w:pPr>
        <w:pStyle w:val="ac"/>
        <w:spacing w:line="360" w:lineRule="auto"/>
        <w:ind w:left="397" w:right="-454"/>
        <w:jc w:val="both"/>
        <w:rPr>
          <w:sz w:val="26"/>
          <w:szCs w:val="26"/>
          <w:rtl/>
        </w:rPr>
      </w:pPr>
      <w:r w:rsidRPr="00782463">
        <w:rPr>
          <w:rFonts w:hint="cs"/>
          <w:sz w:val="26"/>
          <w:szCs w:val="26"/>
          <w:rtl/>
        </w:rPr>
        <w:t>והנה על פי החלטה נוספת, מיום 31.7.2023, "הסוגיה הראשית" להכרעה בשלב זה של המשפט הוגדרה כדלקמן:</w:t>
      </w:r>
    </w:p>
    <w:p w:rsidR="00782463" w:rsidRDefault="00782463" w:rsidP="000473DF">
      <w:pPr>
        <w:pStyle w:val="ac"/>
        <w:spacing w:line="360" w:lineRule="auto"/>
        <w:ind w:left="397" w:right="-454"/>
        <w:jc w:val="both"/>
        <w:rPr>
          <w:sz w:val="26"/>
          <w:szCs w:val="26"/>
          <w:rtl/>
        </w:rPr>
      </w:pPr>
    </w:p>
    <w:p w:rsidR="00782463" w:rsidRDefault="00782463" w:rsidP="00782463">
      <w:pPr>
        <w:pStyle w:val="ac"/>
        <w:spacing w:line="360" w:lineRule="auto"/>
        <w:ind w:left="1134" w:right="567"/>
        <w:jc w:val="both"/>
        <w:rPr>
          <w:b/>
          <w:bCs/>
          <w:sz w:val="26"/>
          <w:szCs w:val="26"/>
          <w:rtl/>
        </w:rPr>
      </w:pPr>
      <w:r w:rsidRPr="00782463">
        <w:rPr>
          <w:rFonts w:hint="cs"/>
          <w:b/>
          <w:bCs/>
          <w:sz w:val="26"/>
          <w:szCs w:val="26"/>
          <w:rtl/>
        </w:rPr>
        <w:t xml:space="preserve">"האם לצורך ישום הוראות סעיף 126(ב) לפקודת מס הכנסה לטובת החברה המקבלת, די בכך כי מקור חלוקת הרווחים או הדיבידנד יהיה ב'הכנסה', כמשמעותה בסעיף 1 לפקודה, אשר הופקה על ידי החברה המחלקת וזאת במצב בו החברה המחלקת תבעה הוצאות פחת שהן מותרות בניכוי לצרכי מס בלבד ואינן חלק מחישוב הרווח החשבונאי." </w:t>
      </w:r>
    </w:p>
    <w:p w:rsidR="007E05FC" w:rsidRDefault="007E05FC" w:rsidP="00782463">
      <w:pPr>
        <w:pStyle w:val="ac"/>
        <w:spacing w:line="360" w:lineRule="auto"/>
        <w:ind w:left="1134" w:right="567"/>
        <w:jc w:val="both"/>
        <w:rPr>
          <w:b/>
          <w:bCs/>
          <w:sz w:val="26"/>
          <w:szCs w:val="26"/>
          <w:rtl/>
        </w:rPr>
      </w:pPr>
    </w:p>
    <w:p w:rsidR="00782463" w:rsidRDefault="00782463" w:rsidP="00782463">
      <w:pPr>
        <w:spacing w:line="360" w:lineRule="auto"/>
        <w:ind w:right="567"/>
        <w:jc w:val="both"/>
        <w:rPr>
          <w:sz w:val="26"/>
          <w:szCs w:val="26"/>
          <w:rtl/>
        </w:rPr>
      </w:pPr>
      <w:r>
        <w:rPr>
          <w:rFonts w:hint="cs"/>
          <w:b/>
          <w:bCs/>
          <w:sz w:val="26"/>
          <w:szCs w:val="26"/>
          <w:rtl/>
        </w:rPr>
        <w:t xml:space="preserve">      </w:t>
      </w:r>
      <w:r>
        <w:rPr>
          <w:rFonts w:hint="cs"/>
          <w:sz w:val="26"/>
          <w:szCs w:val="26"/>
          <w:rtl/>
        </w:rPr>
        <w:t>עוד חשוב לציין כי לפי סעיף 6(ב) להחלטה מיום 10.7.2023:</w:t>
      </w:r>
    </w:p>
    <w:p w:rsidR="00942147" w:rsidRDefault="00942147" w:rsidP="00942147">
      <w:pPr>
        <w:pStyle w:val="ac"/>
        <w:spacing w:line="360" w:lineRule="auto"/>
        <w:ind w:left="1134" w:right="567"/>
        <w:jc w:val="both"/>
        <w:rPr>
          <w:b/>
          <w:bCs/>
          <w:sz w:val="26"/>
          <w:szCs w:val="26"/>
          <w:rtl/>
        </w:rPr>
      </w:pPr>
    </w:p>
    <w:p w:rsidR="00782463" w:rsidRDefault="00942147" w:rsidP="00EC752F">
      <w:pPr>
        <w:pStyle w:val="ac"/>
        <w:spacing w:line="360" w:lineRule="auto"/>
        <w:ind w:left="1134" w:right="567"/>
        <w:jc w:val="both"/>
        <w:rPr>
          <w:b/>
          <w:bCs/>
          <w:sz w:val="26"/>
          <w:szCs w:val="26"/>
          <w:rtl/>
        </w:rPr>
      </w:pPr>
      <w:r>
        <w:rPr>
          <w:rFonts w:hint="cs"/>
          <w:b/>
          <w:bCs/>
          <w:sz w:val="26"/>
          <w:szCs w:val="26"/>
          <w:rtl/>
        </w:rPr>
        <w:t xml:space="preserve">"לצורך ליבון הסוגיה הראשית הנ"ל יונח כי העובדות והנתונים המופיעים בתחשיבי המשיב, כפי שהובאו בהודעה המפרשת את נימוקי השומה </w:t>
      </w:r>
      <w:r>
        <w:rPr>
          <w:b/>
          <w:bCs/>
          <w:sz w:val="26"/>
          <w:szCs w:val="26"/>
          <w:rtl/>
        </w:rPr>
        <w:t>–</w:t>
      </w:r>
      <w:r>
        <w:rPr>
          <w:rFonts w:hint="cs"/>
          <w:b/>
          <w:bCs/>
          <w:sz w:val="26"/>
          <w:szCs w:val="26"/>
          <w:rtl/>
        </w:rPr>
        <w:t xml:space="preserve"> הם נכונים."</w:t>
      </w:r>
    </w:p>
    <w:p w:rsidR="006509CC" w:rsidRDefault="006509CC" w:rsidP="00942147">
      <w:pPr>
        <w:pStyle w:val="ac"/>
        <w:spacing w:line="360" w:lineRule="auto"/>
        <w:ind w:left="1134" w:right="567"/>
        <w:jc w:val="both"/>
        <w:rPr>
          <w:b/>
          <w:bCs/>
          <w:sz w:val="26"/>
          <w:szCs w:val="26"/>
          <w:rtl/>
        </w:rPr>
      </w:pPr>
    </w:p>
    <w:p w:rsidR="006509CC" w:rsidRPr="006509CC" w:rsidRDefault="006509CC" w:rsidP="006509CC">
      <w:pPr>
        <w:pStyle w:val="ac"/>
        <w:numPr>
          <w:ilvl w:val="0"/>
          <w:numId w:val="1"/>
        </w:numPr>
        <w:spacing w:line="360" w:lineRule="auto"/>
        <w:ind w:left="417"/>
        <w:jc w:val="both"/>
        <w:rPr>
          <w:b/>
          <w:bCs/>
          <w:sz w:val="32"/>
          <w:szCs w:val="32"/>
          <w:u w:val="single"/>
          <w:rtl/>
        </w:rPr>
      </w:pPr>
      <w:r>
        <w:rPr>
          <w:rFonts w:hint="cs"/>
          <w:b/>
          <w:bCs/>
          <w:sz w:val="32"/>
          <w:szCs w:val="32"/>
          <w:u w:val="single"/>
          <w:rtl/>
        </w:rPr>
        <w:t>המסגרת החוקית לדיון בסוגיה</w:t>
      </w:r>
    </w:p>
    <w:p w:rsidR="000473DF" w:rsidRDefault="006509CC" w:rsidP="00304041">
      <w:pPr>
        <w:pStyle w:val="ac"/>
        <w:numPr>
          <w:ilvl w:val="0"/>
          <w:numId w:val="2"/>
        </w:numPr>
        <w:spacing w:line="360" w:lineRule="auto"/>
        <w:ind w:left="397" w:right="-454"/>
        <w:jc w:val="both"/>
        <w:rPr>
          <w:sz w:val="26"/>
          <w:szCs w:val="26"/>
        </w:rPr>
      </w:pPr>
      <w:r>
        <w:rPr>
          <w:rFonts w:hint="cs"/>
          <w:sz w:val="26"/>
          <w:szCs w:val="26"/>
          <w:rtl/>
        </w:rPr>
        <w:t xml:space="preserve">סעיף 2 לפקודת מס הכנסה מורה כי: </w:t>
      </w:r>
    </w:p>
    <w:p w:rsidR="006509CC" w:rsidRDefault="006509CC" w:rsidP="006509CC">
      <w:pPr>
        <w:pStyle w:val="ac"/>
        <w:spacing w:line="360" w:lineRule="auto"/>
        <w:ind w:left="397" w:right="-454"/>
        <w:jc w:val="both"/>
        <w:rPr>
          <w:sz w:val="26"/>
          <w:szCs w:val="26"/>
          <w:rtl/>
        </w:rPr>
      </w:pPr>
    </w:p>
    <w:p w:rsidR="0016770D" w:rsidRPr="0016770D" w:rsidRDefault="0016770D" w:rsidP="00B40299">
      <w:pPr>
        <w:spacing w:line="360" w:lineRule="auto"/>
        <w:ind w:left="1134" w:right="567"/>
        <w:jc w:val="both"/>
        <w:rPr>
          <w:rFonts w:ascii="David" w:hAnsi="David"/>
          <w:b/>
          <w:bCs/>
          <w:noProof w:val="0"/>
          <w:sz w:val="26"/>
          <w:szCs w:val="26"/>
        </w:rPr>
      </w:pPr>
      <w:r>
        <w:rPr>
          <w:rFonts w:ascii="David" w:hAnsi="David" w:hint="cs"/>
          <w:b/>
          <w:bCs/>
          <w:color w:val="000000"/>
          <w:sz w:val="26"/>
          <w:szCs w:val="26"/>
          <w:rtl/>
        </w:rPr>
        <w:t>"</w:t>
      </w:r>
      <w:r w:rsidRPr="0016770D">
        <w:rPr>
          <w:rFonts w:ascii="David" w:hAnsi="David"/>
          <w:b/>
          <w:bCs/>
          <w:color w:val="000000"/>
          <w:sz w:val="26"/>
          <w:szCs w:val="26"/>
          <w:rtl/>
        </w:rPr>
        <w:t>מס הכנסה יהא משתלם, בכפוף להוראות פקודה זו, לכל שנת מס, בשיעורים המפורטים להלן, על הכנסתו של אדם</w:t>
      </w:r>
      <w:r w:rsidR="00B40299">
        <w:rPr>
          <w:rFonts w:ascii="David" w:hAnsi="David" w:hint="cs"/>
          <w:b/>
          <w:bCs/>
          <w:color w:val="000000"/>
          <w:sz w:val="26"/>
          <w:szCs w:val="26"/>
          <w:rtl/>
        </w:rPr>
        <w:t>...</w:t>
      </w:r>
      <w:r w:rsidR="00654AC8">
        <w:rPr>
          <w:rFonts w:ascii="David" w:hAnsi="David" w:hint="cs"/>
          <w:b/>
          <w:bCs/>
          <w:color w:val="000000"/>
          <w:sz w:val="26"/>
          <w:szCs w:val="26"/>
          <w:rtl/>
        </w:rPr>
        <w:t xml:space="preserve"> ממקורות אלה:</w:t>
      </w:r>
    </w:p>
    <w:p w:rsidR="0016770D" w:rsidRPr="0016770D" w:rsidRDefault="0016770D" w:rsidP="0016770D">
      <w:pPr>
        <w:spacing w:line="360" w:lineRule="auto"/>
        <w:ind w:left="1134" w:right="567"/>
        <w:jc w:val="both"/>
        <w:rPr>
          <w:rFonts w:ascii="David" w:hAnsi="David"/>
          <w:b/>
          <w:bCs/>
          <w:sz w:val="26"/>
          <w:szCs w:val="26"/>
          <w:rtl/>
        </w:rPr>
      </w:pPr>
      <w:r w:rsidRPr="0016770D">
        <w:rPr>
          <w:rFonts w:ascii="David" w:hAnsi="David"/>
          <w:b/>
          <w:bCs/>
          <w:sz w:val="26"/>
          <w:szCs w:val="26"/>
          <w:rtl/>
        </w:rPr>
        <w:t>...</w:t>
      </w:r>
    </w:p>
    <w:p w:rsidR="0016770D" w:rsidRPr="0016770D" w:rsidRDefault="0016770D" w:rsidP="0016770D">
      <w:pPr>
        <w:spacing w:line="360" w:lineRule="auto"/>
        <w:ind w:left="1134" w:right="567"/>
        <w:jc w:val="both"/>
        <w:rPr>
          <w:rFonts w:ascii="David" w:hAnsi="David"/>
          <w:b/>
          <w:bCs/>
          <w:sz w:val="26"/>
          <w:szCs w:val="26"/>
          <w:rtl/>
        </w:rPr>
      </w:pPr>
      <w:r>
        <w:rPr>
          <w:rFonts w:ascii="David" w:hAnsi="David"/>
          <w:b/>
          <w:bCs/>
          <w:color w:val="000000"/>
          <w:sz w:val="26"/>
          <w:szCs w:val="26"/>
        </w:rPr>
        <w:t xml:space="preserve"> (4)</w:t>
      </w:r>
      <w:r w:rsidRPr="0016770D">
        <w:rPr>
          <w:rFonts w:ascii="David" w:hAnsi="David"/>
          <w:b/>
          <w:bCs/>
          <w:color w:val="000000"/>
          <w:sz w:val="26"/>
          <w:szCs w:val="26"/>
          <w:rtl/>
        </w:rPr>
        <w:t>דיבידנד, לרבות דיבידנד המשתלם מתוך רווחי הון של חברה, ריבית, הפרשי הצמדה או דמי נכיון</w:t>
      </w:r>
      <w:r w:rsidRPr="0016770D">
        <w:rPr>
          <w:rFonts w:ascii="David" w:hAnsi="David"/>
          <w:b/>
          <w:bCs/>
          <w:color w:val="000000"/>
          <w:sz w:val="26"/>
          <w:szCs w:val="26"/>
        </w:rPr>
        <w:t>;</w:t>
      </w:r>
      <w:r w:rsidR="00654AC8">
        <w:rPr>
          <w:rFonts w:ascii="David" w:hAnsi="David" w:hint="cs"/>
          <w:b/>
          <w:bCs/>
          <w:sz w:val="26"/>
          <w:szCs w:val="26"/>
          <w:rtl/>
        </w:rPr>
        <w:t>"</w:t>
      </w:r>
    </w:p>
    <w:p w:rsidR="006509CC" w:rsidRDefault="006509CC" w:rsidP="006509CC">
      <w:pPr>
        <w:pStyle w:val="ac"/>
        <w:spacing w:line="360" w:lineRule="auto"/>
        <w:ind w:left="397" w:right="-454"/>
        <w:jc w:val="both"/>
        <w:rPr>
          <w:sz w:val="26"/>
          <w:szCs w:val="26"/>
          <w:rtl/>
        </w:rPr>
      </w:pPr>
    </w:p>
    <w:p w:rsidR="006509CC" w:rsidRDefault="006509CC" w:rsidP="00917612">
      <w:pPr>
        <w:pStyle w:val="ac"/>
        <w:spacing w:line="360" w:lineRule="auto"/>
        <w:ind w:left="397" w:right="-454"/>
        <w:jc w:val="both"/>
        <w:rPr>
          <w:sz w:val="26"/>
          <w:szCs w:val="26"/>
          <w:rtl/>
        </w:rPr>
      </w:pPr>
      <w:r>
        <w:rPr>
          <w:rFonts w:hint="cs"/>
          <w:sz w:val="26"/>
          <w:szCs w:val="26"/>
          <w:rtl/>
        </w:rPr>
        <w:t xml:space="preserve">משמעות הוראה מוכרת זו היא שדיבידנד מהווה בידי מקבלו פריט הכנסה בפני עצמו עליו מוטל מס, והנבדל לכאורה </w:t>
      </w:r>
      <w:r w:rsidR="00C56BA0">
        <w:rPr>
          <w:rFonts w:hint="cs"/>
          <w:sz w:val="26"/>
          <w:szCs w:val="26"/>
          <w:rtl/>
        </w:rPr>
        <w:t xml:space="preserve">מהרווח שהופק בידי החברה המחלקת </w:t>
      </w:r>
      <w:r>
        <w:rPr>
          <w:rFonts w:hint="cs"/>
          <w:sz w:val="26"/>
          <w:szCs w:val="26"/>
          <w:rtl/>
        </w:rPr>
        <w:t xml:space="preserve">אשר שימש מקור לחלוקה. </w:t>
      </w:r>
    </w:p>
    <w:p w:rsidR="00DF459E" w:rsidRDefault="00DF459E" w:rsidP="006509CC">
      <w:pPr>
        <w:pStyle w:val="ac"/>
        <w:spacing w:line="360" w:lineRule="auto"/>
        <w:ind w:left="397" w:right="-454"/>
        <w:jc w:val="both"/>
        <w:rPr>
          <w:sz w:val="26"/>
          <w:szCs w:val="26"/>
          <w:rtl/>
        </w:rPr>
      </w:pPr>
    </w:p>
    <w:p w:rsidR="00414251" w:rsidRPr="00414251" w:rsidRDefault="006509CC" w:rsidP="00DF459E">
      <w:pPr>
        <w:pStyle w:val="ac"/>
        <w:numPr>
          <w:ilvl w:val="0"/>
          <w:numId w:val="2"/>
        </w:numPr>
        <w:spacing w:line="360" w:lineRule="auto"/>
        <w:ind w:left="397" w:right="-454"/>
        <w:jc w:val="both"/>
        <w:rPr>
          <w:b/>
          <w:bCs/>
          <w:sz w:val="26"/>
          <w:szCs w:val="26"/>
        </w:rPr>
      </w:pPr>
      <w:r w:rsidRPr="00DF459E">
        <w:rPr>
          <w:rFonts w:hint="cs"/>
          <w:sz w:val="26"/>
          <w:szCs w:val="26"/>
          <w:rtl/>
        </w:rPr>
        <w:t>ב</w:t>
      </w:r>
      <w:r>
        <w:rPr>
          <w:rFonts w:hint="cs"/>
          <w:sz w:val="26"/>
          <w:szCs w:val="26"/>
          <w:rtl/>
        </w:rPr>
        <w:t xml:space="preserve">ערעור דנן </w:t>
      </w:r>
      <w:r>
        <w:rPr>
          <w:rFonts w:hint="cs"/>
          <w:b/>
          <w:bCs/>
          <w:sz w:val="26"/>
          <w:szCs w:val="26"/>
          <w:rtl/>
        </w:rPr>
        <w:t>אין</w:t>
      </w:r>
      <w:r>
        <w:rPr>
          <w:rFonts w:hint="cs"/>
          <w:sz w:val="26"/>
          <w:szCs w:val="26"/>
          <w:rtl/>
        </w:rPr>
        <w:t xml:space="preserve"> מחלוקת כי הסכומים שהתקבלו בידי המערערת היו בבחינת "דיבידנד", הן  לעניין חוק</w:t>
      </w:r>
      <w:r w:rsidR="0099567A">
        <w:rPr>
          <w:rFonts w:hint="cs"/>
          <w:sz w:val="26"/>
          <w:szCs w:val="26"/>
          <w:rtl/>
        </w:rPr>
        <w:t xml:space="preserve"> החברות</w:t>
      </w:r>
      <w:r w:rsidR="0084536F">
        <w:rPr>
          <w:rFonts w:hint="cs"/>
          <w:sz w:val="26"/>
          <w:szCs w:val="26"/>
          <w:rtl/>
        </w:rPr>
        <w:t>, התשנ"ט-1999</w:t>
      </w:r>
      <w:r w:rsidR="0099567A">
        <w:rPr>
          <w:rFonts w:hint="cs"/>
          <w:sz w:val="26"/>
          <w:szCs w:val="26"/>
          <w:rtl/>
        </w:rPr>
        <w:t xml:space="preserve"> והן לעניין פקודת מס הכנס</w:t>
      </w:r>
      <w:r>
        <w:rPr>
          <w:rFonts w:hint="cs"/>
          <w:sz w:val="26"/>
          <w:szCs w:val="26"/>
          <w:rtl/>
        </w:rPr>
        <w:t xml:space="preserve">ה. </w:t>
      </w:r>
    </w:p>
    <w:p w:rsidR="00414251" w:rsidRPr="0084536F" w:rsidRDefault="00414251" w:rsidP="00414251">
      <w:pPr>
        <w:pStyle w:val="ac"/>
        <w:spacing w:line="360" w:lineRule="auto"/>
        <w:ind w:left="397" w:right="-454"/>
        <w:jc w:val="both"/>
        <w:rPr>
          <w:sz w:val="26"/>
          <w:szCs w:val="26"/>
          <w:rtl/>
        </w:rPr>
      </w:pPr>
    </w:p>
    <w:p w:rsidR="0084536F" w:rsidRDefault="006509CC" w:rsidP="0084536F">
      <w:pPr>
        <w:pStyle w:val="ac"/>
        <w:spacing w:line="360" w:lineRule="auto"/>
        <w:ind w:left="397" w:right="-454"/>
        <w:jc w:val="both"/>
        <w:rPr>
          <w:sz w:val="26"/>
          <w:szCs w:val="26"/>
          <w:rtl/>
        </w:rPr>
      </w:pPr>
      <w:r>
        <w:rPr>
          <w:rFonts w:hint="cs"/>
          <w:sz w:val="26"/>
          <w:szCs w:val="26"/>
          <w:rtl/>
        </w:rPr>
        <w:t>יוער כי בהתאם להוראות חוק החברות</w:t>
      </w:r>
      <w:r w:rsidR="0084536F">
        <w:rPr>
          <w:rFonts w:hint="cs"/>
          <w:sz w:val="26"/>
          <w:szCs w:val="26"/>
          <w:rtl/>
        </w:rPr>
        <w:t>:</w:t>
      </w:r>
    </w:p>
    <w:p w:rsidR="0084536F" w:rsidRDefault="0084536F" w:rsidP="0084536F">
      <w:pPr>
        <w:pStyle w:val="ac"/>
        <w:spacing w:line="360" w:lineRule="auto"/>
        <w:ind w:left="397" w:right="-454"/>
        <w:jc w:val="both"/>
        <w:rPr>
          <w:sz w:val="26"/>
          <w:szCs w:val="26"/>
          <w:rtl/>
        </w:rPr>
      </w:pPr>
    </w:p>
    <w:p w:rsidR="0084536F" w:rsidRDefault="006509CC" w:rsidP="0084536F">
      <w:pPr>
        <w:pStyle w:val="ac"/>
        <w:numPr>
          <w:ilvl w:val="0"/>
          <w:numId w:val="4"/>
        </w:numPr>
        <w:spacing w:line="360" w:lineRule="auto"/>
        <w:ind w:right="-454"/>
        <w:jc w:val="both"/>
        <w:rPr>
          <w:sz w:val="26"/>
          <w:szCs w:val="26"/>
          <w:rtl/>
        </w:rPr>
      </w:pPr>
      <w:r>
        <w:rPr>
          <w:rFonts w:hint="cs"/>
          <w:sz w:val="26"/>
          <w:szCs w:val="26"/>
          <w:rtl/>
        </w:rPr>
        <w:t>המונח "דיבידנד" מוגדר כ</w:t>
      </w:r>
      <w:r>
        <w:rPr>
          <w:rFonts w:hint="cs"/>
          <w:b/>
          <w:bCs/>
          <w:sz w:val="26"/>
          <w:szCs w:val="26"/>
          <w:rtl/>
        </w:rPr>
        <w:t xml:space="preserve">"כל נכס הניתן על ידי  החברה לבעל </w:t>
      </w:r>
      <w:r w:rsidR="006A4767">
        <w:rPr>
          <w:rFonts w:hint="cs"/>
          <w:b/>
          <w:bCs/>
          <w:sz w:val="26"/>
          <w:szCs w:val="26"/>
          <w:rtl/>
        </w:rPr>
        <w:t>מניה מכוח זכותו כבעל מניה, בין ב</w:t>
      </w:r>
      <w:r>
        <w:rPr>
          <w:rFonts w:hint="cs"/>
          <w:b/>
          <w:bCs/>
          <w:sz w:val="26"/>
          <w:szCs w:val="26"/>
          <w:rtl/>
        </w:rPr>
        <w:t>מזומן ובין בכל דרך אחרת..."</w:t>
      </w:r>
      <w:r>
        <w:rPr>
          <w:rFonts w:hint="cs"/>
          <w:sz w:val="26"/>
          <w:szCs w:val="26"/>
          <w:rtl/>
        </w:rPr>
        <w:t xml:space="preserve"> (סעיף 1); </w:t>
      </w:r>
    </w:p>
    <w:p w:rsidR="0084536F" w:rsidRDefault="0084536F" w:rsidP="0084536F">
      <w:pPr>
        <w:pStyle w:val="ac"/>
        <w:numPr>
          <w:ilvl w:val="0"/>
          <w:numId w:val="4"/>
        </w:numPr>
        <w:spacing w:line="360" w:lineRule="auto"/>
        <w:ind w:right="-454"/>
        <w:jc w:val="both"/>
        <w:rPr>
          <w:sz w:val="26"/>
          <w:szCs w:val="26"/>
          <w:rtl/>
        </w:rPr>
      </w:pPr>
      <w:r>
        <w:rPr>
          <w:rFonts w:hint="cs"/>
          <w:sz w:val="26"/>
          <w:szCs w:val="26"/>
          <w:rtl/>
        </w:rPr>
        <w:t xml:space="preserve">חברה </w:t>
      </w:r>
      <w:r>
        <w:rPr>
          <w:rFonts w:hint="cs"/>
          <w:b/>
          <w:bCs/>
          <w:sz w:val="26"/>
          <w:szCs w:val="26"/>
          <w:rtl/>
        </w:rPr>
        <w:t xml:space="preserve">"רשאית לבצע חלוקה </w:t>
      </w:r>
      <w:r>
        <w:rPr>
          <w:rFonts w:hint="cs"/>
          <w:sz w:val="26"/>
          <w:szCs w:val="26"/>
          <w:rtl/>
        </w:rPr>
        <w:t xml:space="preserve">[פעולה שכוללת גם מתן דיבידנד] </w:t>
      </w:r>
      <w:r w:rsidRPr="006509CC">
        <w:rPr>
          <w:rFonts w:hint="cs"/>
          <w:b/>
          <w:bCs/>
          <w:sz w:val="26"/>
          <w:szCs w:val="26"/>
          <w:rtl/>
        </w:rPr>
        <w:t>מתוך רווחיה..."</w:t>
      </w:r>
      <w:r>
        <w:rPr>
          <w:rFonts w:hint="cs"/>
          <w:b/>
          <w:bCs/>
          <w:sz w:val="26"/>
          <w:szCs w:val="26"/>
          <w:rtl/>
        </w:rPr>
        <w:t xml:space="preserve"> </w:t>
      </w:r>
      <w:r>
        <w:rPr>
          <w:rFonts w:hint="cs"/>
          <w:sz w:val="26"/>
          <w:szCs w:val="26"/>
          <w:rtl/>
        </w:rPr>
        <w:t>(סעיף 302(א));</w:t>
      </w:r>
    </w:p>
    <w:p w:rsidR="00DF459E" w:rsidRDefault="00DF459E" w:rsidP="0084536F">
      <w:pPr>
        <w:pStyle w:val="ac"/>
        <w:numPr>
          <w:ilvl w:val="0"/>
          <w:numId w:val="4"/>
        </w:numPr>
        <w:spacing w:line="360" w:lineRule="auto"/>
        <w:ind w:right="-454"/>
        <w:jc w:val="both"/>
        <w:rPr>
          <w:b/>
          <w:bCs/>
          <w:sz w:val="26"/>
          <w:szCs w:val="26"/>
          <w:rtl/>
        </w:rPr>
      </w:pPr>
      <w:r>
        <w:rPr>
          <w:rFonts w:hint="cs"/>
          <w:sz w:val="26"/>
          <w:szCs w:val="26"/>
          <w:rtl/>
        </w:rPr>
        <w:lastRenderedPageBreak/>
        <w:t>המונח "רווחים" לעניין מבחן הרווח, מוגדר כ</w:t>
      </w:r>
      <w:r>
        <w:rPr>
          <w:rFonts w:hint="cs"/>
          <w:b/>
          <w:bCs/>
          <w:sz w:val="26"/>
          <w:szCs w:val="26"/>
          <w:rtl/>
        </w:rPr>
        <w:t>"יתרת עודפים או עודפים שנצברו בשנתיים האחרונות, לפי הגבוה מבין השניים, והכל על פי הדו"חות הכספיים המותאמים האחרונים..."</w:t>
      </w:r>
      <w:r w:rsidRPr="00DF459E">
        <w:rPr>
          <w:rFonts w:hint="cs"/>
          <w:sz w:val="26"/>
          <w:szCs w:val="26"/>
          <w:rtl/>
        </w:rPr>
        <w:t>.</w:t>
      </w:r>
    </w:p>
    <w:p w:rsidR="00DF459E" w:rsidRDefault="00DF459E" w:rsidP="006509CC">
      <w:pPr>
        <w:pStyle w:val="ac"/>
        <w:spacing w:line="360" w:lineRule="auto"/>
        <w:ind w:left="397" w:right="-454"/>
        <w:jc w:val="both"/>
        <w:rPr>
          <w:b/>
          <w:bCs/>
          <w:sz w:val="26"/>
          <w:szCs w:val="26"/>
          <w:rtl/>
        </w:rPr>
      </w:pPr>
    </w:p>
    <w:p w:rsidR="00DF459E" w:rsidRDefault="00DF459E" w:rsidP="006509CC">
      <w:pPr>
        <w:pStyle w:val="ac"/>
        <w:spacing w:line="360" w:lineRule="auto"/>
        <w:ind w:left="397" w:right="-454"/>
        <w:jc w:val="both"/>
        <w:rPr>
          <w:b/>
          <w:bCs/>
          <w:sz w:val="26"/>
          <w:szCs w:val="26"/>
          <w:rtl/>
        </w:rPr>
      </w:pPr>
      <w:r w:rsidRPr="00DF459E">
        <w:rPr>
          <w:rFonts w:hint="cs"/>
          <w:b/>
          <w:bCs/>
          <w:sz w:val="26"/>
          <w:szCs w:val="26"/>
          <w:rtl/>
        </w:rPr>
        <w:t>אין</w:t>
      </w:r>
      <w:r>
        <w:rPr>
          <w:rFonts w:hint="cs"/>
          <w:b/>
          <w:bCs/>
          <w:sz w:val="26"/>
          <w:szCs w:val="26"/>
          <w:rtl/>
        </w:rPr>
        <w:t xml:space="preserve"> </w:t>
      </w:r>
      <w:r w:rsidRPr="00DF459E">
        <w:rPr>
          <w:rFonts w:hint="cs"/>
          <w:sz w:val="26"/>
          <w:szCs w:val="26"/>
          <w:rtl/>
        </w:rPr>
        <w:t>מחלוקת בהליך זה כי חלוקת הדיבידנדים על ידי אבנת עמדה במבחני חוק החברות.</w:t>
      </w:r>
      <w:r>
        <w:rPr>
          <w:rFonts w:hint="cs"/>
          <w:b/>
          <w:bCs/>
          <w:sz w:val="26"/>
          <w:szCs w:val="26"/>
          <w:rtl/>
        </w:rPr>
        <w:t xml:space="preserve"> </w:t>
      </w:r>
    </w:p>
    <w:p w:rsidR="006509CC" w:rsidRPr="00DF459E" w:rsidRDefault="00DF459E" w:rsidP="006509CC">
      <w:pPr>
        <w:pStyle w:val="ac"/>
        <w:spacing w:line="360" w:lineRule="auto"/>
        <w:ind w:left="397" w:right="-454"/>
        <w:jc w:val="both"/>
        <w:rPr>
          <w:b/>
          <w:bCs/>
          <w:sz w:val="26"/>
          <w:szCs w:val="26"/>
        </w:rPr>
      </w:pPr>
      <w:r>
        <w:rPr>
          <w:rFonts w:hint="cs"/>
          <w:b/>
          <w:bCs/>
          <w:sz w:val="26"/>
          <w:szCs w:val="26"/>
          <w:rtl/>
        </w:rPr>
        <w:t xml:space="preserve"> </w:t>
      </w:r>
    </w:p>
    <w:p w:rsidR="008B2D35" w:rsidRDefault="00B86A5E" w:rsidP="002E4414">
      <w:pPr>
        <w:pStyle w:val="ac"/>
        <w:numPr>
          <w:ilvl w:val="0"/>
          <w:numId w:val="2"/>
        </w:numPr>
        <w:spacing w:line="360" w:lineRule="auto"/>
        <w:ind w:left="397" w:right="-454"/>
        <w:jc w:val="both"/>
        <w:rPr>
          <w:sz w:val="26"/>
          <w:szCs w:val="26"/>
        </w:rPr>
      </w:pPr>
      <w:r>
        <w:rPr>
          <w:rFonts w:hint="cs"/>
          <w:sz w:val="26"/>
          <w:szCs w:val="26"/>
          <w:rtl/>
        </w:rPr>
        <w:t xml:space="preserve">יצויין כי </w:t>
      </w:r>
      <w:r w:rsidR="00DF459E">
        <w:rPr>
          <w:rFonts w:hint="cs"/>
          <w:sz w:val="26"/>
          <w:szCs w:val="26"/>
          <w:rtl/>
        </w:rPr>
        <w:t xml:space="preserve">בשנים הנדונות, הכנסה מדיבידינד </w:t>
      </w:r>
      <w:r w:rsidR="00DF459E">
        <w:rPr>
          <w:rFonts w:hint="cs"/>
          <w:b/>
          <w:bCs/>
          <w:sz w:val="26"/>
          <w:szCs w:val="26"/>
          <w:rtl/>
        </w:rPr>
        <w:t>בידי יחיד</w:t>
      </w:r>
      <w:r w:rsidR="00DF459E">
        <w:rPr>
          <w:rFonts w:hint="cs"/>
          <w:sz w:val="26"/>
          <w:szCs w:val="26"/>
          <w:rtl/>
        </w:rPr>
        <w:t xml:space="preserve"> הייתה חייבת</w:t>
      </w:r>
      <w:r w:rsidR="0084536F">
        <w:rPr>
          <w:rFonts w:hint="cs"/>
          <w:sz w:val="26"/>
          <w:szCs w:val="26"/>
          <w:rtl/>
        </w:rPr>
        <w:t>,</w:t>
      </w:r>
      <w:r w:rsidR="00DF459E">
        <w:rPr>
          <w:rFonts w:hint="cs"/>
          <w:sz w:val="26"/>
          <w:szCs w:val="26"/>
          <w:rtl/>
        </w:rPr>
        <w:t xml:space="preserve"> </w:t>
      </w:r>
      <w:r w:rsidR="003F5CE7">
        <w:rPr>
          <w:rFonts w:hint="cs"/>
          <w:sz w:val="26"/>
          <w:szCs w:val="26"/>
          <w:rtl/>
        </w:rPr>
        <w:t>ככ</w:t>
      </w:r>
      <w:r w:rsidR="0084536F">
        <w:rPr>
          <w:rFonts w:hint="cs"/>
          <w:sz w:val="26"/>
          <w:szCs w:val="26"/>
          <w:rtl/>
        </w:rPr>
        <w:t xml:space="preserve">לל, </w:t>
      </w:r>
      <w:r w:rsidR="00DF459E">
        <w:rPr>
          <w:rFonts w:hint="cs"/>
          <w:sz w:val="26"/>
          <w:szCs w:val="26"/>
          <w:rtl/>
        </w:rPr>
        <w:t xml:space="preserve">בשיעור מס של 25%, ובשיעור של 30% בידי יחיד שהוא "בעל מניות מהותי" בחברה המחלקת. </w:t>
      </w:r>
    </w:p>
    <w:p w:rsidR="008B2D35" w:rsidRDefault="008B2D35" w:rsidP="008B2D35">
      <w:pPr>
        <w:pStyle w:val="ac"/>
        <w:spacing w:line="360" w:lineRule="auto"/>
        <w:ind w:left="397" w:right="-454"/>
        <w:jc w:val="both"/>
        <w:rPr>
          <w:sz w:val="26"/>
          <w:szCs w:val="26"/>
          <w:rtl/>
        </w:rPr>
      </w:pPr>
    </w:p>
    <w:p w:rsidR="008B2D35" w:rsidRDefault="008B2D35" w:rsidP="008B6BEA">
      <w:pPr>
        <w:pStyle w:val="ac"/>
        <w:spacing w:line="360" w:lineRule="auto"/>
        <w:ind w:left="397" w:right="-454"/>
        <w:jc w:val="both"/>
        <w:rPr>
          <w:sz w:val="26"/>
          <w:szCs w:val="26"/>
          <w:rtl/>
        </w:rPr>
      </w:pPr>
      <w:r>
        <w:rPr>
          <w:rFonts w:hint="cs"/>
          <w:sz w:val="26"/>
          <w:szCs w:val="26"/>
          <w:rtl/>
        </w:rPr>
        <w:t>עוד יצויין כי בשנת המס 2016 שיעור מס החברות לפי סעיף 126(א) לפקודה היה 25%, ואילו בשנת המס 2017 השיעור היה 24%.</w:t>
      </w:r>
    </w:p>
    <w:p w:rsidR="008B2D35" w:rsidRDefault="008B2D35" w:rsidP="008B6BEA">
      <w:pPr>
        <w:pStyle w:val="ac"/>
        <w:spacing w:line="360" w:lineRule="auto"/>
        <w:ind w:left="397" w:right="-454"/>
        <w:jc w:val="both"/>
        <w:rPr>
          <w:sz w:val="26"/>
          <w:szCs w:val="26"/>
        </w:rPr>
      </w:pPr>
    </w:p>
    <w:p w:rsidR="00DF459E" w:rsidRDefault="008B6BEA" w:rsidP="008B2D35">
      <w:pPr>
        <w:pStyle w:val="ac"/>
        <w:numPr>
          <w:ilvl w:val="0"/>
          <w:numId w:val="2"/>
        </w:numPr>
        <w:spacing w:line="360" w:lineRule="auto"/>
        <w:ind w:left="397" w:right="-454"/>
        <w:jc w:val="both"/>
        <w:rPr>
          <w:sz w:val="26"/>
          <w:szCs w:val="26"/>
        </w:rPr>
      </w:pPr>
      <w:r>
        <w:rPr>
          <w:rFonts w:hint="cs"/>
          <w:sz w:val="26"/>
          <w:szCs w:val="26"/>
          <w:rtl/>
        </w:rPr>
        <w:t>והנה, חרף האמור</w:t>
      </w:r>
      <w:r w:rsidR="008B2D35">
        <w:rPr>
          <w:rFonts w:hint="cs"/>
          <w:sz w:val="26"/>
          <w:szCs w:val="26"/>
          <w:rtl/>
        </w:rPr>
        <w:t xml:space="preserve"> בסעיפים</w:t>
      </w:r>
      <w:r>
        <w:rPr>
          <w:rFonts w:hint="cs"/>
          <w:sz w:val="26"/>
          <w:szCs w:val="26"/>
          <w:rtl/>
        </w:rPr>
        <w:t xml:space="preserve"> 2(4) </w:t>
      </w:r>
      <w:r w:rsidR="008B2D35">
        <w:rPr>
          <w:rFonts w:hint="cs"/>
          <w:sz w:val="26"/>
          <w:szCs w:val="26"/>
          <w:rtl/>
        </w:rPr>
        <w:t xml:space="preserve">ו- 126(א) </w:t>
      </w:r>
      <w:r>
        <w:rPr>
          <w:rFonts w:hint="cs"/>
          <w:sz w:val="26"/>
          <w:szCs w:val="26"/>
          <w:rtl/>
        </w:rPr>
        <w:t>לפקודה, נקבע בסעיף  126(ב) לפקודה</w:t>
      </w:r>
      <w:r w:rsidR="008B2D35">
        <w:rPr>
          <w:rFonts w:hint="cs"/>
          <w:sz w:val="26"/>
          <w:szCs w:val="26"/>
          <w:rtl/>
        </w:rPr>
        <w:t xml:space="preserve"> לגבי חבר בני אדם</w:t>
      </w:r>
      <w:r>
        <w:rPr>
          <w:rFonts w:hint="cs"/>
          <w:sz w:val="26"/>
          <w:szCs w:val="26"/>
          <w:rtl/>
        </w:rPr>
        <w:t xml:space="preserve"> לאמור: </w:t>
      </w:r>
    </w:p>
    <w:p w:rsidR="008B6BEA" w:rsidRDefault="008B6BEA" w:rsidP="008B6BEA">
      <w:pPr>
        <w:pStyle w:val="ac"/>
        <w:rPr>
          <w:sz w:val="26"/>
          <w:szCs w:val="26"/>
          <w:rtl/>
        </w:rPr>
      </w:pPr>
    </w:p>
    <w:p w:rsidR="0016770D" w:rsidRPr="0016770D" w:rsidRDefault="0016770D" w:rsidP="0016770D">
      <w:pPr>
        <w:spacing w:line="360" w:lineRule="auto"/>
        <w:ind w:left="1134" w:right="567"/>
        <w:jc w:val="both"/>
        <w:rPr>
          <w:rFonts w:ascii="David" w:hAnsi="David"/>
          <w:b/>
          <w:bCs/>
          <w:noProof w:val="0"/>
          <w:sz w:val="36"/>
          <w:szCs w:val="36"/>
        </w:rPr>
      </w:pPr>
      <w:r>
        <w:rPr>
          <w:rFonts w:ascii="David" w:hAnsi="David" w:hint="cs"/>
          <w:b/>
          <w:bCs/>
          <w:color w:val="000000"/>
          <w:sz w:val="26"/>
          <w:szCs w:val="26"/>
          <w:rtl/>
        </w:rPr>
        <w:t>"</w:t>
      </w:r>
      <w:r w:rsidRPr="0016770D">
        <w:rPr>
          <w:rFonts w:ascii="David" w:hAnsi="David"/>
          <w:b/>
          <w:bCs/>
          <w:color w:val="000000"/>
          <w:sz w:val="26"/>
          <w:szCs w:val="26"/>
          <w:rtl/>
        </w:rPr>
        <w:t>בחישוב ההכנסה החייבת לפי סעיף קטן (א) לא תיכלל הכנסה מחלוקת רווחים או מדיבידנד שמקורם בהכנסות שהופקו או שנצמחו בישראל שנתקבלו במישרין או בעקיפין מחבר-בני-אדם אחר החייב במס חברות וכן לא תיכלל הכנסה שנקבע לגביה שיעור מס מיוחד</w:t>
      </w:r>
      <w:r w:rsidRPr="0016770D">
        <w:rPr>
          <w:rFonts w:ascii="David" w:hAnsi="David"/>
          <w:b/>
          <w:bCs/>
          <w:color w:val="000000"/>
          <w:sz w:val="26"/>
          <w:szCs w:val="26"/>
        </w:rPr>
        <w:t>.</w:t>
      </w:r>
      <w:r>
        <w:rPr>
          <w:rFonts w:ascii="David" w:hAnsi="David" w:hint="cs"/>
          <w:b/>
          <w:bCs/>
          <w:color w:val="000000"/>
          <w:sz w:val="26"/>
          <w:szCs w:val="26"/>
          <w:rtl/>
        </w:rPr>
        <w:t>"</w:t>
      </w:r>
    </w:p>
    <w:p w:rsidR="0016770D" w:rsidRDefault="0016770D" w:rsidP="0016770D">
      <w:pPr>
        <w:rPr>
          <w:rFonts w:ascii="Arial" w:hAnsi="Arial" w:cs="Arial"/>
          <w:b/>
          <w:bCs/>
          <w:sz w:val="36"/>
          <w:szCs w:val="36"/>
          <w:rtl/>
        </w:rPr>
      </w:pPr>
    </w:p>
    <w:p w:rsidR="008B6BEA" w:rsidRDefault="008B6BEA" w:rsidP="008B6BEA">
      <w:pPr>
        <w:pStyle w:val="ac"/>
        <w:numPr>
          <w:ilvl w:val="0"/>
          <w:numId w:val="2"/>
        </w:numPr>
        <w:spacing w:line="360" w:lineRule="auto"/>
        <w:ind w:left="397" w:right="-454"/>
        <w:jc w:val="both"/>
        <w:rPr>
          <w:sz w:val="26"/>
          <w:szCs w:val="26"/>
        </w:rPr>
      </w:pPr>
      <w:r>
        <w:rPr>
          <w:rFonts w:hint="cs"/>
          <w:sz w:val="26"/>
          <w:szCs w:val="26"/>
          <w:rtl/>
        </w:rPr>
        <w:t>כפי שהוסבר בהרחבה בפסיקה ענפה קודמת, סעיף 126(ב) נותן ביטוי למודל המיסוי ה"דו-שלבי" של חברה ובעלי מניותיה:</w:t>
      </w:r>
    </w:p>
    <w:p w:rsidR="008B6BEA" w:rsidRDefault="008B6BEA" w:rsidP="008B6BEA">
      <w:pPr>
        <w:pStyle w:val="ac"/>
        <w:spacing w:line="360" w:lineRule="auto"/>
        <w:ind w:left="397" w:right="-454"/>
        <w:jc w:val="both"/>
        <w:rPr>
          <w:sz w:val="26"/>
          <w:szCs w:val="26"/>
          <w:highlight w:val="yellow"/>
          <w:rtl/>
        </w:rPr>
      </w:pPr>
    </w:p>
    <w:p w:rsidR="0091178D" w:rsidRPr="0091178D" w:rsidRDefault="0091178D" w:rsidP="00B40299">
      <w:pPr>
        <w:pStyle w:val="ac"/>
        <w:spacing w:line="360" w:lineRule="auto"/>
        <w:ind w:left="1134" w:right="567"/>
        <w:jc w:val="both"/>
        <w:rPr>
          <w:rFonts w:ascii="David" w:hAnsi="David"/>
          <w:b/>
          <w:bCs/>
          <w:noProof w:val="0"/>
          <w:sz w:val="26"/>
          <w:szCs w:val="26"/>
        </w:rPr>
      </w:pPr>
      <w:r>
        <w:rPr>
          <w:rFonts w:ascii="David" w:hAnsi="David" w:hint="cs"/>
          <w:b/>
          <w:bCs/>
          <w:sz w:val="26"/>
          <w:szCs w:val="26"/>
          <w:rtl/>
        </w:rPr>
        <w:t>"</w:t>
      </w:r>
      <w:r w:rsidR="0016770D" w:rsidRPr="0091178D">
        <w:rPr>
          <w:rFonts w:ascii="David" w:hAnsi="David"/>
          <w:b/>
          <w:bCs/>
          <w:sz w:val="26"/>
          <w:szCs w:val="26"/>
          <w:rtl/>
        </w:rPr>
        <w:t>מקובל לומר אפוא כי נטל המס החל על הכנסותיהן של חברות נגזר משילובם של מס החברות (23%) ומס ההכנסה בגין הדיבידנד (25%).</w:t>
      </w:r>
      <w:r w:rsidR="00B40299">
        <w:rPr>
          <w:rFonts w:ascii="David" w:hAnsi="David" w:hint="cs"/>
          <w:b/>
          <w:bCs/>
          <w:sz w:val="26"/>
          <w:szCs w:val="26"/>
          <w:rtl/>
        </w:rPr>
        <w:t xml:space="preserve"> </w:t>
      </w:r>
      <w:r w:rsidRPr="0091178D">
        <w:rPr>
          <w:rFonts w:ascii="David" w:hAnsi="David"/>
          <w:b/>
          <w:bCs/>
          <w:sz w:val="26"/>
          <w:szCs w:val="26"/>
          <w:rtl/>
        </w:rPr>
        <w:t>מודל דו-שלבי זה מבטיח כי 'בסוף הדרך' ישולם מס מצטבר בסכום הדומה בקירוב ל</w:t>
      </w:r>
      <w:r w:rsidR="00CA131C">
        <w:rPr>
          <w:rFonts w:ascii="David" w:hAnsi="David"/>
          <w:b/>
          <w:bCs/>
          <w:sz w:val="26"/>
          <w:szCs w:val="26"/>
          <w:rtl/>
        </w:rPr>
        <w:t>מס השולי שהיה משולם על ידי יחיד</w:t>
      </w:r>
      <w:r w:rsidRPr="0091178D">
        <w:rPr>
          <w:rFonts w:ascii="David" w:hAnsi="David"/>
          <w:b/>
          <w:bCs/>
          <w:sz w:val="26"/>
          <w:szCs w:val="26"/>
          <w:rtl/>
        </w:rPr>
        <w:t>.... בכך ביקש המחוקק למנוע הטלת מס ביתר על נישומים הפועלים באמצעות תאגיד ולהבטיח 'אדישות מיסויית' של הנישום בכל הנוגע להחלטה אם להתאגד...</w:t>
      </w:r>
      <w:r>
        <w:rPr>
          <w:rFonts w:ascii="David" w:hAnsi="David" w:hint="cs"/>
          <w:b/>
          <w:bCs/>
          <w:sz w:val="26"/>
          <w:szCs w:val="26"/>
          <w:rtl/>
        </w:rPr>
        <w:t>"</w:t>
      </w:r>
    </w:p>
    <w:p w:rsidR="0091178D" w:rsidRDefault="0091178D" w:rsidP="0091178D">
      <w:pPr>
        <w:pStyle w:val="ac"/>
        <w:spacing w:line="360" w:lineRule="auto"/>
        <w:ind w:left="397" w:right="-454"/>
        <w:jc w:val="both"/>
        <w:rPr>
          <w:b/>
          <w:bCs/>
          <w:sz w:val="26"/>
          <w:szCs w:val="26"/>
          <w:rtl/>
        </w:rPr>
      </w:pPr>
      <w:r>
        <w:rPr>
          <w:rFonts w:hint="cs"/>
          <w:sz w:val="26"/>
          <w:szCs w:val="26"/>
          <w:rtl/>
        </w:rPr>
        <w:t xml:space="preserve">            </w:t>
      </w:r>
      <w:r w:rsidR="003F5CE7">
        <w:rPr>
          <w:rFonts w:hint="cs"/>
          <w:sz w:val="26"/>
          <w:szCs w:val="26"/>
          <w:rtl/>
        </w:rPr>
        <w:t>(מתוך סעיף 10 לפסק דינו של כבוד השופט עמית</w:t>
      </w:r>
      <w:r w:rsidR="001D0089">
        <w:rPr>
          <w:rFonts w:hint="cs"/>
          <w:sz w:val="26"/>
          <w:szCs w:val="26"/>
          <w:rtl/>
        </w:rPr>
        <w:t xml:space="preserve"> בע"א 3277/19 </w:t>
      </w:r>
      <w:r w:rsidR="001D0089">
        <w:rPr>
          <w:rFonts w:hint="cs"/>
          <w:b/>
          <w:bCs/>
          <w:sz w:val="26"/>
          <w:szCs w:val="26"/>
          <w:rtl/>
        </w:rPr>
        <w:t xml:space="preserve">פקיד שומה </w:t>
      </w:r>
    </w:p>
    <w:p w:rsidR="008B6BEA" w:rsidRDefault="0091178D" w:rsidP="0091178D">
      <w:pPr>
        <w:pStyle w:val="ac"/>
        <w:spacing w:line="360" w:lineRule="auto"/>
        <w:ind w:left="397" w:right="-454"/>
        <w:jc w:val="both"/>
        <w:rPr>
          <w:sz w:val="26"/>
          <w:szCs w:val="26"/>
          <w:rtl/>
        </w:rPr>
      </w:pPr>
      <w:r>
        <w:rPr>
          <w:rFonts w:hint="cs"/>
          <w:b/>
          <w:bCs/>
          <w:sz w:val="26"/>
          <w:szCs w:val="26"/>
          <w:rtl/>
        </w:rPr>
        <w:t xml:space="preserve">            </w:t>
      </w:r>
      <w:r w:rsidR="001D0089">
        <w:rPr>
          <w:rFonts w:hint="cs"/>
          <w:b/>
          <w:bCs/>
          <w:sz w:val="26"/>
          <w:szCs w:val="26"/>
          <w:rtl/>
        </w:rPr>
        <w:t>ירושלים נ' אפרים סקמסקי ואח'</w:t>
      </w:r>
      <w:r w:rsidR="001D0089">
        <w:rPr>
          <w:rFonts w:hint="cs"/>
          <w:sz w:val="26"/>
          <w:szCs w:val="26"/>
          <w:rtl/>
        </w:rPr>
        <w:t xml:space="preserve">, ניתן ביום 16.8.2021). </w:t>
      </w:r>
    </w:p>
    <w:p w:rsidR="0091178D" w:rsidRPr="001D0089" w:rsidRDefault="0091178D" w:rsidP="0091178D">
      <w:pPr>
        <w:pStyle w:val="ac"/>
        <w:spacing w:line="360" w:lineRule="auto"/>
        <w:ind w:left="397" w:right="-454"/>
        <w:jc w:val="both"/>
        <w:rPr>
          <w:sz w:val="26"/>
          <w:szCs w:val="26"/>
          <w:rtl/>
        </w:rPr>
      </w:pPr>
    </w:p>
    <w:p w:rsidR="008B2D35" w:rsidRDefault="008B2D35" w:rsidP="00AE5CA4">
      <w:pPr>
        <w:pStyle w:val="ac"/>
        <w:spacing w:line="360" w:lineRule="auto"/>
        <w:ind w:left="397" w:right="-454"/>
        <w:jc w:val="both"/>
        <w:rPr>
          <w:sz w:val="26"/>
          <w:szCs w:val="26"/>
          <w:rtl/>
        </w:rPr>
      </w:pPr>
      <w:r>
        <w:rPr>
          <w:rFonts w:hint="cs"/>
          <w:sz w:val="26"/>
          <w:szCs w:val="26"/>
          <w:rtl/>
        </w:rPr>
        <w:t xml:space="preserve">משמעות הכלל הקבוע בסעיף 126(ב) היא כפולה: ראשית, לא יוטל מס על </w:t>
      </w:r>
      <w:r w:rsidR="0024755E">
        <w:rPr>
          <w:rFonts w:hint="cs"/>
          <w:sz w:val="26"/>
          <w:szCs w:val="26"/>
          <w:rtl/>
        </w:rPr>
        <w:t xml:space="preserve">עצם </w:t>
      </w:r>
      <w:r>
        <w:rPr>
          <w:rFonts w:hint="cs"/>
          <w:sz w:val="26"/>
          <w:szCs w:val="26"/>
          <w:rtl/>
        </w:rPr>
        <w:t xml:space="preserve">חלוקתם של רווחי תאגיד עד אשר כספי החלוקה </w:t>
      </w:r>
      <w:r>
        <w:rPr>
          <w:rFonts w:hint="cs"/>
          <w:b/>
          <w:bCs/>
          <w:sz w:val="26"/>
          <w:szCs w:val="26"/>
          <w:rtl/>
        </w:rPr>
        <w:t xml:space="preserve">יגיעו לידי נישום יחיד </w:t>
      </w:r>
      <w:r>
        <w:rPr>
          <w:rFonts w:hint="cs"/>
          <w:sz w:val="26"/>
          <w:szCs w:val="26"/>
          <w:rtl/>
        </w:rPr>
        <w:t xml:space="preserve">(לכלל זה חריגים חשובים רבים, שאינם מענייננו כאן); שנית, וכפועל יוצא מכך, ניתן להקים מספר בלתי מוגבל של "חוליות ביניים", החוצצות בין התאגיד ובין בעל המניות היחיד העומד בראש השרשרת, ותתקבל אותה תוצאה: </w:t>
      </w:r>
      <w:r w:rsidR="00AE5CA4">
        <w:rPr>
          <w:rFonts w:hint="cs"/>
          <w:sz w:val="26"/>
          <w:szCs w:val="26"/>
          <w:rtl/>
        </w:rPr>
        <w:t>אי</w:t>
      </w:r>
      <w:r w:rsidR="001D0089">
        <w:rPr>
          <w:rFonts w:hint="cs"/>
          <w:sz w:val="26"/>
          <w:szCs w:val="26"/>
          <w:rtl/>
        </w:rPr>
        <w:t xml:space="preserve"> מיסוי חלוקת דיבידנד בין-</w:t>
      </w:r>
      <w:r>
        <w:rPr>
          <w:rFonts w:hint="cs"/>
          <w:sz w:val="26"/>
          <w:szCs w:val="26"/>
          <w:rtl/>
        </w:rPr>
        <w:t xml:space="preserve">חברתית (שוב, בכפוף לחריגים). </w:t>
      </w:r>
    </w:p>
    <w:p w:rsidR="008B2D35" w:rsidRDefault="008B2D35" w:rsidP="008B6BEA">
      <w:pPr>
        <w:pStyle w:val="ac"/>
        <w:spacing w:line="360" w:lineRule="auto"/>
        <w:ind w:left="397" w:right="-454"/>
        <w:jc w:val="both"/>
        <w:rPr>
          <w:sz w:val="26"/>
          <w:szCs w:val="26"/>
          <w:rtl/>
        </w:rPr>
      </w:pPr>
    </w:p>
    <w:p w:rsidR="008B6BEA" w:rsidRDefault="008B6BEA" w:rsidP="008B6BEA">
      <w:pPr>
        <w:pStyle w:val="ac"/>
        <w:spacing w:line="360" w:lineRule="auto"/>
        <w:ind w:left="397" w:right="-454"/>
        <w:jc w:val="both"/>
        <w:rPr>
          <w:sz w:val="26"/>
          <w:szCs w:val="26"/>
          <w:rtl/>
        </w:rPr>
      </w:pPr>
      <w:r>
        <w:rPr>
          <w:rFonts w:hint="cs"/>
          <w:sz w:val="26"/>
          <w:szCs w:val="26"/>
          <w:rtl/>
        </w:rPr>
        <w:t xml:space="preserve">בערעור זה אף צד איננו מסתייג מן </w:t>
      </w:r>
      <w:r>
        <w:rPr>
          <w:rFonts w:hint="cs"/>
          <w:b/>
          <w:bCs/>
          <w:sz w:val="26"/>
          <w:szCs w:val="26"/>
          <w:rtl/>
        </w:rPr>
        <w:t>העקרון</w:t>
      </w:r>
      <w:r>
        <w:rPr>
          <w:rFonts w:hint="cs"/>
          <w:sz w:val="26"/>
          <w:szCs w:val="26"/>
          <w:rtl/>
        </w:rPr>
        <w:t xml:space="preserve"> הגלום במודל הדו-שלבי האמור, והמחלוקת מצטמצמת לאופן יישום הוראות סעיף 126(ב) בנסיבות הנתונות. </w:t>
      </w:r>
    </w:p>
    <w:p w:rsidR="008B6BEA" w:rsidRDefault="008B6BEA" w:rsidP="008B6BEA">
      <w:pPr>
        <w:pStyle w:val="ac"/>
        <w:spacing w:line="360" w:lineRule="auto"/>
        <w:ind w:left="397" w:right="-454"/>
        <w:jc w:val="both"/>
        <w:rPr>
          <w:sz w:val="26"/>
          <w:szCs w:val="26"/>
          <w:rtl/>
        </w:rPr>
      </w:pPr>
    </w:p>
    <w:p w:rsidR="008B6BEA" w:rsidRDefault="00252899" w:rsidP="008B6BEA">
      <w:pPr>
        <w:pStyle w:val="ac"/>
        <w:numPr>
          <w:ilvl w:val="0"/>
          <w:numId w:val="2"/>
        </w:numPr>
        <w:spacing w:line="360" w:lineRule="auto"/>
        <w:ind w:left="397" w:right="-454"/>
        <w:jc w:val="both"/>
        <w:rPr>
          <w:sz w:val="26"/>
          <w:szCs w:val="26"/>
        </w:rPr>
      </w:pPr>
      <w:r>
        <w:rPr>
          <w:rFonts w:hint="cs"/>
          <w:sz w:val="26"/>
          <w:szCs w:val="26"/>
          <w:rtl/>
        </w:rPr>
        <w:t xml:space="preserve">בהתאם ללשונו, וכפי שהוא פורש בפסיקה, סעיף </w:t>
      </w:r>
      <w:r w:rsidR="00A35425">
        <w:rPr>
          <w:rFonts w:hint="cs"/>
          <w:sz w:val="26"/>
          <w:szCs w:val="26"/>
          <w:rtl/>
        </w:rPr>
        <w:t>1</w:t>
      </w:r>
      <w:r>
        <w:rPr>
          <w:rFonts w:hint="cs"/>
          <w:sz w:val="26"/>
          <w:szCs w:val="26"/>
          <w:rtl/>
        </w:rPr>
        <w:t>26(ב) לפקודה יחול בהתקיים כל התנאים הבאים:</w:t>
      </w:r>
    </w:p>
    <w:p w:rsidR="00252899" w:rsidRPr="00AE5CA4" w:rsidRDefault="00252899" w:rsidP="00252899">
      <w:pPr>
        <w:pStyle w:val="ac"/>
        <w:spacing w:line="360" w:lineRule="auto"/>
        <w:ind w:left="397" w:right="-454"/>
        <w:jc w:val="both"/>
        <w:rPr>
          <w:sz w:val="26"/>
          <w:szCs w:val="26"/>
          <w:rtl/>
        </w:rPr>
      </w:pPr>
    </w:p>
    <w:p w:rsidR="00252899" w:rsidRDefault="00252899" w:rsidP="00252899">
      <w:pPr>
        <w:pStyle w:val="ac"/>
        <w:numPr>
          <w:ilvl w:val="0"/>
          <w:numId w:val="3"/>
        </w:numPr>
        <w:spacing w:line="360" w:lineRule="auto"/>
        <w:ind w:right="-454"/>
        <w:jc w:val="both"/>
        <w:rPr>
          <w:sz w:val="26"/>
          <w:szCs w:val="26"/>
        </w:rPr>
      </w:pPr>
      <w:r>
        <w:rPr>
          <w:rFonts w:hint="cs"/>
          <w:sz w:val="26"/>
          <w:szCs w:val="26"/>
          <w:rtl/>
        </w:rPr>
        <w:t xml:space="preserve">מקור הדיבידנד </w:t>
      </w:r>
      <w:r w:rsidR="0026161D">
        <w:rPr>
          <w:rFonts w:hint="cs"/>
          <w:sz w:val="26"/>
          <w:szCs w:val="26"/>
          <w:rtl/>
        </w:rPr>
        <w:t xml:space="preserve">הוא </w:t>
      </w:r>
      <w:r>
        <w:rPr>
          <w:rFonts w:hint="cs"/>
          <w:sz w:val="26"/>
          <w:szCs w:val="26"/>
          <w:rtl/>
        </w:rPr>
        <w:t>ב"הכנסות" (של החברה המחלקת);</w:t>
      </w:r>
    </w:p>
    <w:p w:rsidR="00252899" w:rsidRDefault="00252899" w:rsidP="00252899">
      <w:pPr>
        <w:pStyle w:val="ac"/>
        <w:numPr>
          <w:ilvl w:val="0"/>
          <w:numId w:val="3"/>
        </w:numPr>
        <w:spacing w:line="360" w:lineRule="auto"/>
        <w:ind w:right="-454"/>
        <w:jc w:val="both"/>
        <w:rPr>
          <w:sz w:val="26"/>
          <w:szCs w:val="26"/>
        </w:rPr>
      </w:pPr>
      <w:r>
        <w:rPr>
          <w:rFonts w:hint="cs"/>
          <w:sz w:val="26"/>
          <w:szCs w:val="26"/>
          <w:rtl/>
        </w:rPr>
        <w:t>ה"הכנסות" (של החברה המחלקת) הופקו או נצמחו בישראל;</w:t>
      </w:r>
    </w:p>
    <w:p w:rsidR="00252899" w:rsidRDefault="00252899" w:rsidP="00252899">
      <w:pPr>
        <w:pStyle w:val="ac"/>
        <w:numPr>
          <w:ilvl w:val="0"/>
          <w:numId w:val="3"/>
        </w:numPr>
        <w:spacing w:line="360" w:lineRule="auto"/>
        <w:ind w:right="-454"/>
        <w:jc w:val="both"/>
        <w:rPr>
          <w:sz w:val="26"/>
          <w:szCs w:val="26"/>
        </w:rPr>
      </w:pPr>
      <w:r>
        <w:rPr>
          <w:rFonts w:hint="cs"/>
          <w:sz w:val="26"/>
          <w:szCs w:val="26"/>
          <w:rtl/>
        </w:rPr>
        <w:t>הדיבידנד התקבל, במישרין</w:t>
      </w:r>
      <w:r w:rsidR="00A35425">
        <w:rPr>
          <w:rFonts w:hint="cs"/>
          <w:sz w:val="26"/>
          <w:szCs w:val="26"/>
          <w:rtl/>
        </w:rPr>
        <w:t xml:space="preserve"> או בעיקפין, מ"חבר בני אדם אחר [החברה המחלקת]</w:t>
      </w:r>
      <w:r>
        <w:rPr>
          <w:rFonts w:hint="cs"/>
          <w:sz w:val="26"/>
          <w:szCs w:val="26"/>
          <w:rtl/>
        </w:rPr>
        <w:t xml:space="preserve"> החייב במס חברות</w:t>
      </w:r>
      <w:r w:rsidR="00A35425">
        <w:rPr>
          <w:rFonts w:hint="cs"/>
          <w:sz w:val="26"/>
          <w:szCs w:val="26"/>
          <w:rtl/>
        </w:rPr>
        <w:t>"</w:t>
      </w:r>
      <w:r>
        <w:rPr>
          <w:rFonts w:hint="cs"/>
          <w:sz w:val="26"/>
          <w:szCs w:val="26"/>
          <w:rtl/>
        </w:rPr>
        <w:t xml:space="preserve">. </w:t>
      </w:r>
    </w:p>
    <w:p w:rsidR="007E05FC" w:rsidRDefault="007E05FC" w:rsidP="00252899">
      <w:pPr>
        <w:spacing w:line="360" w:lineRule="auto"/>
        <w:ind w:left="397" w:right="-454"/>
        <w:jc w:val="both"/>
        <w:rPr>
          <w:sz w:val="26"/>
          <w:szCs w:val="26"/>
          <w:rtl/>
        </w:rPr>
      </w:pPr>
    </w:p>
    <w:p w:rsidR="00252899" w:rsidRDefault="00252899" w:rsidP="00FD371C">
      <w:pPr>
        <w:spacing w:line="360" w:lineRule="auto"/>
        <w:ind w:left="397" w:right="-454"/>
        <w:jc w:val="both"/>
        <w:rPr>
          <w:sz w:val="26"/>
          <w:szCs w:val="26"/>
          <w:rtl/>
        </w:rPr>
      </w:pPr>
      <w:r>
        <w:rPr>
          <w:rFonts w:hint="cs"/>
          <w:sz w:val="26"/>
          <w:szCs w:val="26"/>
          <w:rtl/>
        </w:rPr>
        <w:t>(לעניין  י</w:t>
      </w:r>
      <w:r w:rsidR="00640C94">
        <w:rPr>
          <w:rFonts w:hint="cs"/>
          <w:sz w:val="26"/>
          <w:szCs w:val="26"/>
          <w:rtl/>
        </w:rPr>
        <w:t>סודות סעיף 126(ב), ראו, בין היתר, סעיף 28 לפסק דינו של כבוד השופט מינץ</w:t>
      </w:r>
      <w:r w:rsidR="001B3576">
        <w:rPr>
          <w:rFonts w:hint="cs"/>
          <w:sz w:val="26"/>
          <w:szCs w:val="26"/>
          <w:rtl/>
        </w:rPr>
        <w:t xml:space="preserve"> בע"א 2515/18 </w:t>
      </w:r>
      <w:r w:rsidR="001B3576">
        <w:rPr>
          <w:rFonts w:hint="cs"/>
          <w:b/>
          <w:bCs/>
          <w:sz w:val="26"/>
          <w:szCs w:val="26"/>
          <w:rtl/>
        </w:rPr>
        <w:t>חברת אם.סי.אל. קניון דרורים בע"מ ואח' נ' פקיד שומה פתח תקווה ואח'</w:t>
      </w:r>
      <w:r w:rsidR="001B3576">
        <w:rPr>
          <w:rFonts w:hint="cs"/>
          <w:sz w:val="26"/>
          <w:szCs w:val="26"/>
          <w:rtl/>
        </w:rPr>
        <w:t>, ניתן ביום 17.6.2020</w:t>
      </w:r>
      <w:r w:rsidR="00FD371C">
        <w:rPr>
          <w:rFonts w:hint="cs"/>
          <w:sz w:val="26"/>
          <w:szCs w:val="26"/>
          <w:rtl/>
        </w:rPr>
        <w:t xml:space="preserve"> (להלן </w:t>
      </w:r>
      <w:r w:rsidR="00FD371C">
        <w:rPr>
          <w:sz w:val="26"/>
          <w:szCs w:val="26"/>
          <w:rtl/>
        </w:rPr>
        <w:t>–</w:t>
      </w:r>
      <w:r w:rsidR="00FD371C">
        <w:rPr>
          <w:rFonts w:hint="cs"/>
          <w:sz w:val="26"/>
          <w:szCs w:val="26"/>
          <w:rtl/>
        </w:rPr>
        <w:t xml:space="preserve"> עניין </w:t>
      </w:r>
      <w:r w:rsidR="00FD371C">
        <w:rPr>
          <w:rFonts w:hint="cs"/>
          <w:b/>
          <w:bCs/>
          <w:sz w:val="26"/>
          <w:szCs w:val="26"/>
          <w:rtl/>
        </w:rPr>
        <w:t>"קניון דרורים"</w:t>
      </w:r>
      <w:r w:rsidR="00FD371C">
        <w:rPr>
          <w:rFonts w:hint="cs"/>
          <w:sz w:val="26"/>
          <w:szCs w:val="26"/>
          <w:rtl/>
        </w:rPr>
        <w:t>)</w:t>
      </w:r>
      <w:r w:rsidR="006673CD">
        <w:rPr>
          <w:rFonts w:hint="cs"/>
          <w:sz w:val="26"/>
          <w:szCs w:val="26"/>
          <w:rtl/>
        </w:rPr>
        <w:t>)</w:t>
      </w:r>
      <w:r w:rsidR="001B3576">
        <w:rPr>
          <w:rFonts w:hint="cs"/>
          <w:sz w:val="26"/>
          <w:szCs w:val="26"/>
          <w:rtl/>
        </w:rPr>
        <w:t>.</w:t>
      </w:r>
      <w:r w:rsidR="00640C94">
        <w:rPr>
          <w:rFonts w:hint="cs"/>
          <w:sz w:val="26"/>
          <w:szCs w:val="26"/>
          <w:rtl/>
        </w:rPr>
        <w:t xml:space="preserve"> </w:t>
      </w:r>
    </w:p>
    <w:p w:rsidR="00252899" w:rsidRDefault="00252899" w:rsidP="00252899">
      <w:pPr>
        <w:spacing w:line="360" w:lineRule="auto"/>
        <w:ind w:left="397" w:right="-454"/>
        <w:jc w:val="both"/>
        <w:rPr>
          <w:sz w:val="26"/>
          <w:szCs w:val="26"/>
          <w:rtl/>
        </w:rPr>
      </w:pPr>
    </w:p>
    <w:p w:rsidR="00A2051D" w:rsidRPr="00A2051D" w:rsidRDefault="00252899" w:rsidP="00B40299">
      <w:pPr>
        <w:pStyle w:val="ac"/>
        <w:numPr>
          <w:ilvl w:val="0"/>
          <w:numId w:val="2"/>
        </w:numPr>
        <w:spacing w:line="360" w:lineRule="auto"/>
        <w:ind w:left="397" w:right="-454"/>
        <w:jc w:val="both"/>
        <w:rPr>
          <w:sz w:val="26"/>
          <w:szCs w:val="26"/>
          <w:rtl/>
        </w:rPr>
      </w:pPr>
      <w:r w:rsidRPr="00A2051D">
        <w:rPr>
          <w:rFonts w:hint="cs"/>
          <w:sz w:val="26"/>
          <w:szCs w:val="26"/>
          <w:rtl/>
        </w:rPr>
        <w:t xml:space="preserve">המונח </w:t>
      </w:r>
      <w:r w:rsidRPr="00A2051D">
        <w:rPr>
          <w:rFonts w:hint="cs"/>
          <w:b/>
          <w:bCs/>
          <w:sz w:val="26"/>
          <w:szCs w:val="26"/>
          <w:rtl/>
        </w:rPr>
        <w:t>"הכנסה"</w:t>
      </w:r>
      <w:r w:rsidRPr="00A2051D">
        <w:rPr>
          <w:rFonts w:hint="cs"/>
          <w:sz w:val="26"/>
          <w:szCs w:val="26"/>
          <w:rtl/>
        </w:rPr>
        <w:t xml:space="preserve"> מוגדר בסעיף 1 לפקודה כ</w:t>
      </w:r>
      <w:r w:rsidR="00A2051D" w:rsidRPr="00A2051D">
        <w:rPr>
          <w:rFonts w:ascii="David" w:hAnsi="David"/>
          <w:b/>
          <w:bCs/>
          <w:sz w:val="26"/>
          <w:szCs w:val="26"/>
          <w:rtl/>
        </w:rPr>
        <w:t>"</w:t>
      </w:r>
      <w:r w:rsidR="00A2051D" w:rsidRPr="00A2051D">
        <w:rPr>
          <w:rFonts w:ascii="David" w:hAnsi="David"/>
          <w:b/>
          <w:bCs/>
          <w:color w:val="000000"/>
          <w:sz w:val="26"/>
          <w:szCs w:val="26"/>
          <w:rtl/>
        </w:rPr>
        <w:t>סך כל הכנסתו של אדם מן המקורות המפורשים בסעיפים 2 ו-3, בצירוף סכומים שנקבע לגביהם בכל דין שדינם כהכנסה לענין פקודה זו</w:t>
      </w:r>
      <w:r w:rsidR="00A2051D">
        <w:rPr>
          <w:rFonts w:ascii="David" w:hAnsi="David"/>
          <w:b/>
          <w:bCs/>
          <w:color w:val="000000"/>
          <w:sz w:val="26"/>
          <w:szCs w:val="26"/>
        </w:rPr>
        <w:t>"</w:t>
      </w:r>
      <w:r w:rsidR="00A2051D" w:rsidRPr="00124403">
        <w:rPr>
          <w:rFonts w:ascii="David" w:hAnsi="David" w:hint="cs"/>
          <w:color w:val="000000"/>
          <w:sz w:val="26"/>
          <w:szCs w:val="26"/>
          <w:rtl/>
        </w:rPr>
        <w:t>.</w:t>
      </w:r>
    </w:p>
    <w:p w:rsidR="00252899" w:rsidRPr="00252899" w:rsidRDefault="00252899" w:rsidP="00252899">
      <w:pPr>
        <w:spacing w:line="360" w:lineRule="auto"/>
        <w:ind w:left="397" w:right="-454"/>
        <w:jc w:val="both"/>
        <w:rPr>
          <w:sz w:val="26"/>
          <w:szCs w:val="26"/>
        </w:rPr>
      </w:pPr>
    </w:p>
    <w:p w:rsidR="00252899" w:rsidRDefault="00252899" w:rsidP="001B3576">
      <w:pPr>
        <w:pStyle w:val="ac"/>
        <w:spacing w:line="360" w:lineRule="auto"/>
        <w:ind w:left="397" w:right="-454"/>
        <w:jc w:val="both"/>
        <w:rPr>
          <w:sz w:val="26"/>
          <w:szCs w:val="26"/>
        </w:rPr>
      </w:pPr>
      <w:r>
        <w:rPr>
          <w:rFonts w:hint="cs"/>
          <w:sz w:val="26"/>
          <w:szCs w:val="26"/>
          <w:rtl/>
        </w:rPr>
        <w:t>יש להדגיש: במקרה דנן, אין מחלוקת בין הצדדים כי הדיבידנדים</w:t>
      </w:r>
      <w:r w:rsidR="00AE5CA4">
        <w:rPr>
          <w:rFonts w:hint="cs"/>
          <w:sz w:val="26"/>
          <w:szCs w:val="26"/>
          <w:rtl/>
        </w:rPr>
        <w:t xml:space="preserve"> הנדונים</w:t>
      </w:r>
      <w:r>
        <w:rPr>
          <w:rFonts w:hint="cs"/>
          <w:sz w:val="26"/>
          <w:szCs w:val="26"/>
          <w:rtl/>
        </w:rPr>
        <w:t xml:space="preserve"> </w:t>
      </w:r>
      <w:r>
        <w:rPr>
          <w:rFonts w:hint="cs"/>
          <w:b/>
          <w:bCs/>
          <w:sz w:val="26"/>
          <w:szCs w:val="26"/>
          <w:rtl/>
        </w:rPr>
        <w:t>חולקו מתוך "הכנסות"</w:t>
      </w:r>
      <w:r>
        <w:rPr>
          <w:rFonts w:hint="cs"/>
          <w:sz w:val="26"/>
          <w:szCs w:val="26"/>
          <w:rtl/>
        </w:rPr>
        <w:t xml:space="preserve"> שהופקו על ידי </w:t>
      </w:r>
      <w:r w:rsidR="00AE5CA4">
        <w:rPr>
          <w:rFonts w:hint="cs"/>
          <w:sz w:val="26"/>
          <w:szCs w:val="26"/>
          <w:rtl/>
        </w:rPr>
        <w:t xml:space="preserve">חברת </w:t>
      </w:r>
      <w:r>
        <w:rPr>
          <w:rFonts w:hint="cs"/>
          <w:sz w:val="26"/>
          <w:szCs w:val="26"/>
          <w:rtl/>
        </w:rPr>
        <w:t>אבנת. כמוסבר, הרווחים החשבונאיים הרגילים של</w:t>
      </w:r>
      <w:r w:rsidR="00A35425">
        <w:rPr>
          <w:rFonts w:hint="cs"/>
          <w:sz w:val="26"/>
          <w:szCs w:val="26"/>
          <w:rtl/>
        </w:rPr>
        <w:t xml:space="preserve"> אבנת נבעו מהשכרת שטחי מסחר וממת</w:t>
      </w:r>
      <w:r>
        <w:rPr>
          <w:rFonts w:hint="cs"/>
          <w:sz w:val="26"/>
          <w:szCs w:val="26"/>
          <w:rtl/>
        </w:rPr>
        <w:t>ן שירותי ניהול</w:t>
      </w:r>
      <w:r w:rsidR="001B3576">
        <w:rPr>
          <w:rFonts w:hint="cs"/>
          <w:sz w:val="26"/>
          <w:szCs w:val="26"/>
          <w:rtl/>
        </w:rPr>
        <w:t xml:space="preserve">. </w:t>
      </w:r>
      <w:r>
        <w:rPr>
          <w:rFonts w:hint="cs"/>
          <w:sz w:val="26"/>
          <w:szCs w:val="26"/>
          <w:rtl/>
        </w:rPr>
        <w:t xml:space="preserve">אין מחלוקת כי הכנסות אלה בדו"ח הרווח וההספד </w:t>
      </w:r>
      <w:r w:rsidRPr="00A35425">
        <w:rPr>
          <w:rFonts w:hint="cs"/>
          <w:sz w:val="26"/>
          <w:szCs w:val="26"/>
          <w:rtl/>
        </w:rPr>
        <w:t>היו</w:t>
      </w:r>
      <w:r>
        <w:rPr>
          <w:rFonts w:hint="cs"/>
          <w:b/>
          <w:bCs/>
          <w:sz w:val="26"/>
          <w:szCs w:val="26"/>
          <w:rtl/>
        </w:rPr>
        <w:t xml:space="preserve"> גם בבחינת "הכנס</w:t>
      </w:r>
      <w:r w:rsidR="00C16F76">
        <w:rPr>
          <w:rFonts w:hint="cs"/>
          <w:b/>
          <w:bCs/>
          <w:sz w:val="26"/>
          <w:szCs w:val="26"/>
          <w:rtl/>
        </w:rPr>
        <w:t>ה"</w:t>
      </w:r>
      <w:r w:rsidR="00C16F76">
        <w:rPr>
          <w:rFonts w:hint="cs"/>
          <w:sz w:val="26"/>
          <w:szCs w:val="26"/>
          <w:rtl/>
        </w:rPr>
        <w:t xml:space="preserve"> בה</w:t>
      </w:r>
      <w:r w:rsidR="00A35425">
        <w:rPr>
          <w:rFonts w:hint="cs"/>
          <w:sz w:val="26"/>
          <w:szCs w:val="26"/>
          <w:rtl/>
        </w:rPr>
        <w:t xml:space="preserve">תאם להגדרת </w:t>
      </w:r>
      <w:r w:rsidR="00C16F76">
        <w:rPr>
          <w:rFonts w:hint="cs"/>
          <w:sz w:val="26"/>
          <w:szCs w:val="26"/>
          <w:rtl/>
        </w:rPr>
        <w:t xml:space="preserve">מושג </w:t>
      </w:r>
      <w:r w:rsidR="00A35425">
        <w:rPr>
          <w:rFonts w:hint="cs"/>
          <w:sz w:val="26"/>
          <w:szCs w:val="26"/>
          <w:rtl/>
        </w:rPr>
        <w:t xml:space="preserve">זה </w:t>
      </w:r>
      <w:r w:rsidR="00C16F76">
        <w:rPr>
          <w:rFonts w:hint="cs"/>
          <w:sz w:val="26"/>
          <w:szCs w:val="26"/>
          <w:rtl/>
        </w:rPr>
        <w:t xml:space="preserve">בפקודת מס הכנסה. </w:t>
      </w:r>
    </w:p>
    <w:p w:rsidR="00C16F76" w:rsidRPr="001B3576" w:rsidRDefault="00C16F76" w:rsidP="00C16F76">
      <w:pPr>
        <w:pStyle w:val="ac"/>
        <w:spacing w:line="360" w:lineRule="auto"/>
        <w:ind w:left="397" w:right="-454"/>
        <w:jc w:val="both"/>
        <w:rPr>
          <w:sz w:val="26"/>
          <w:szCs w:val="26"/>
          <w:rtl/>
        </w:rPr>
      </w:pPr>
    </w:p>
    <w:p w:rsidR="00C16F76" w:rsidRDefault="00C16F76" w:rsidP="001B3576">
      <w:pPr>
        <w:pStyle w:val="ac"/>
        <w:spacing w:line="360" w:lineRule="auto"/>
        <w:ind w:left="397" w:right="-454"/>
        <w:jc w:val="both"/>
        <w:rPr>
          <w:sz w:val="26"/>
          <w:szCs w:val="26"/>
          <w:rtl/>
        </w:rPr>
      </w:pPr>
      <w:r>
        <w:rPr>
          <w:rFonts w:hint="cs"/>
          <w:sz w:val="26"/>
          <w:szCs w:val="26"/>
          <w:rtl/>
        </w:rPr>
        <w:lastRenderedPageBreak/>
        <w:t xml:space="preserve">נזכיר בהקשר זה כי לפי חוק החברות, דיבידנד חייב להתחלק מתוך "עודפים", כלומר רווחים חשבונאיים, וכאן הרווחים החשבונאיים מפעילות רגילה </w:t>
      </w:r>
      <w:r>
        <w:rPr>
          <w:sz w:val="26"/>
          <w:szCs w:val="26"/>
          <w:rtl/>
        </w:rPr>
        <w:t>–</w:t>
      </w:r>
      <w:r>
        <w:rPr>
          <w:rFonts w:hint="cs"/>
          <w:sz w:val="26"/>
          <w:szCs w:val="26"/>
          <w:rtl/>
        </w:rPr>
        <w:t xml:space="preserve"> המשקפים גם "הכנסות" לפי הפקודה </w:t>
      </w:r>
      <w:r>
        <w:rPr>
          <w:sz w:val="26"/>
          <w:szCs w:val="26"/>
          <w:rtl/>
        </w:rPr>
        <w:t>–</w:t>
      </w:r>
      <w:r>
        <w:rPr>
          <w:rFonts w:hint="cs"/>
          <w:sz w:val="26"/>
          <w:szCs w:val="26"/>
          <w:rtl/>
        </w:rPr>
        <w:t xml:space="preserve"> הסתכמו </w:t>
      </w:r>
      <w:r w:rsidR="00A35425">
        <w:rPr>
          <w:rFonts w:hint="cs"/>
          <w:sz w:val="26"/>
          <w:szCs w:val="26"/>
          <w:rtl/>
        </w:rPr>
        <w:t>ביותר מ- 146 מיליון ש"ח</w:t>
      </w:r>
      <w:r>
        <w:rPr>
          <w:rFonts w:hint="cs"/>
          <w:sz w:val="26"/>
          <w:szCs w:val="26"/>
          <w:rtl/>
        </w:rPr>
        <w:t xml:space="preserve"> ואילו סכום הדיבידנדים היה נמוך יותר: 120 מילי</w:t>
      </w:r>
      <w:r w:rsidR="00A35425">
        <w:rPr>
          <w:rFonts w:hint="cs"/>
          <w:sz w:val="26"/>
          <w:szCs w:val="26"/>
          <w:rtl/>
        </w:rPr>
        <w:t>ו</w:t>
      </w:r>
      <w:r>
        <w:rPr>
          <w:rFonts w:hint="cs"/>
          <w:sz w:val="26"/>
          <w:szCs w:val="26"/>
          <w:rtl/>
        </w:rPr>
        <w:t xml:space="preserve">ן </w:t>
      </w:r>
      <w:r w:rsidR="008568B7">
        <w:rPr>
          <w:rFonts w:hint="cs"/>
          <w:sz w:val="26"/>
          <w:szCs w:val="26"/>
          <w:rtl/>
        </w:rPr>
        <w:t>ש"ח</w:t>
      </w:r>
      <w:r>
        <w:rPr>
          <w:rFonts w:hint="cs"/>
          <w:sz w:val="26"/>
          <w:szCs w:val="26"/>
          <w:rtl/>
        </w:rPr>
        <w:t xml:space="preserve"> (לשתי בעלות המניות). </w:t>
      </w:r>
    </w:p>
    <w:p w:rsidR="00D12ACA" w:rsidRDefault="00D12ACA" w:rsidP="008568B7">
      <w:pPr>
        <w:pStyle w:val="ac"/>
        <w:spacing w:line="360" w:lineRule="auto"/>
        <w:ind w:left="397" w:right="-454"/>
        <w:jc w:val="both"/>
        <w:rPr>
          <w:sz w:val="26"/>
          <w:szCs w:val="26"/>
          <w:rtl/>
        </w:rPr>
      </w:pPr>
    </w:p>
    <w:p w:rsidR="00D12ACA" w:rsidRDefault="00D12ACA" w:rsidP="009A633D">
      <w:pPr>
        <w:pStyle w:val="ac"/>
        <w:spacing w:line="360" w:lineRule="auto"/>
        <w:ind w:left="397" w:right="-454"/>
        <w:jc w:val="both"/>
        <w:rPr>
          <w:sz w:val="26"/>
          <w:szCs w:val="26"/>
          <w:rtl/>
        </w:rPr>
      </w:pPr>
      <w:r>
        <w:rPr>
          <w:rFonts w:hint="cs"/>
          <w:sz w:val="26"/>
          <w:szCs w:val="26"/>
          <w:rtl/>
        </w:rPr>
        <w:t xml:space="preserve">כפי שנראה בהמשך, לדעת המערערת, </w:t>
      </w:r>
      <w:r>
        <w:rPr>
          <w:rFonts w:hint="cs"/>
          <w:b/>
          <w:bCs/>
          <w:sz w:val="26"/>
          <w:szCs w:val="26"/>
          <w:rtl/>
        </w:rPr>
        <w:t xml:space="preserve">די בכך </w:t>
      </w:r>
      <w:r>
        <w:rPr>
          <w:rFonts w:hint="cs"/>
          <w:sz w:val="26"/>
          <w:szCs w:val="26"/>
          <w:rtl/>
        </w:rPr>
        <w:t xml:space="preserve"> כדי להביא להחלת סעיף 126(ב) על מלוא סכום הדיבידנדים, ואילו לגישת המשיב, </w:t>
      </w:r>
      <w:r>
        <w:rPr>
          <w:rFonts w:hint="cs"/>
          <w:b/>
          <w:bCs/>
          <w:sz w:val="26"/>
          <w:szCs w:val="26"/>
          <w:rtl/>
        </w:rPr>
        <w:t>לא די בכך</w:t>
      </w:r>
      <w:r>
        <w:rPr>
          <w:rFonts w:hint="cs"/>
          <w:sz w:val="26"/>
          <w:szCs w:val="26"/>
          <w:rtl/>
        </w:rPr>
        <w:t xml:space="preserve">, ובמקרה זה אחד מן היסודות הדרושים </w:t>
      </w:r>
      <w:r w:rsidR="009A633D">
        <w:rPr>
          <w:rFonts w:hint="cs"/>
          <w:sz w:val="26"/>
          <w:szCs w:val="26"/>
          <w:rtl/>
        </w:rPr>
        <w:t>לתחולת</w:t>
      </w:r>
      <w:r>
        <w:rPr>
          <w:rFonts w:hint="cs"/>
          <w:sz w:val="26"/>
          <w:szCs w:val="26"/>
          <w:rtl/>
        </w:rPr>
        <w:t xml:space="preserve"> הסעיף לא התקיים. </w:t>
      </w:r>
    </w:p>
    <w:p w:rsidR="0026161D" w:rsidRPr="00D12ACA" w:rsidRDefault="0026161D" w:rsidP="009A633D">
      <w:pPr>
        <w:pStyle w:val="ac"/>
        <w:spacing w:line="360" w:lineRule="auto"/>
        <w:ind w:left="397" w:right="-454"/>
        <w:jc w:val="both"/>
        <w:rPr>
          <w:sz w:val="26"/>
          <w:szCs w:val="26"/>
          <w:rtl/>
        </w:rPr>
      </w:pPr>
    </w:p>
    <w:p w:rsidR="00D12ACA" w:rsidRPr="0026161D" w:rsidRDefault="0026161D" w:rsidP="0026161D">
      <w:pPr>
        <w:pStyle w:val="ac"/>
        <w:numPr>
          <w:ilvl w:val="0"/>
          <w:numId w:val="1"/>
        </w:numPr>
        <w:spacing w:line="360" w:lineRule="auto"/>
        <w:ind w:left="417"/>
        <w:jc w:val="both"/>
        <w:rPr>
          <w:b/>
          <w:bCs/>
          <w:sz w:val="32"/>
          <w:szCs w:val="32"/>
          <w:u w:val="single"/>
        </w:rPr>
      </w:pPr>
      <w:r w:rsidRPr="0026161D">
        <w:rPr>
          <w:rFonts w:hint="cs"/>
          <w:b/>
          <w:bCs/>
          <w:sz w:val="32"/>
          <w:szCs w:val="32"/>
          <w:u w:val="single"/>
          <w:rtl/>
        </w:rPr>
        <w:t>תזכורת לגבי הלכת קניון דרורים</w:t>
      </w:r>
    </w:p>
    <w:p w:rsidR="009A7C00" w:rsidRDefault="001D0089" w:rsidP="001D0089">
      <w:pPr>
        <w:pStyle w:val="ac"/>
        <w:numPr>
          <w:ilvl w:val="0"/>
          <w:numId w:val="2"/>
        </w:numPr>
        <w:spacing w:line="360" w:lineRule="auto"/>
        <w:ind w:left="397" w:right="-454"/>
        <w:jc w:val="both"/>
        <w:rPr>
          <w:sz w:val="26"/>
          <w:szCs w:val="26"/>
        </w:rPr>
      </w:pPr>
      <w:r>
        <w:rPr>
          <w:rFonts w:hint="cs"/>
          <w:sz w:val="26"/>
          <w:szCs w:val="26"/>
          <w:rtl/>
        </w:rPr>
        <w:t>כאמור,</w:t>
      </w:r>
      <w:r w:rsidR="00123C7A">
        <w:rPr>
          <w:rFonts w:hint="cs"/>
          <w:sz w:val="26"/>
          <w:szCs w:val="26"/>
          <w:rtl/>
        </w:rPr>
        <w:t xml:space="preserve"> </w:t>
      </w:r>
      <w:r w:rsidR="0026161D">
        <w:rPr>
          <w:rFonts w:hint="cs"/>
          <w:sz w:val="26"/>
          <w:szCs w:val="26"/>
          <w:rtl/>
        </w:rPr>
        <w:t>הסוגיה שמתעוררת בערעור דנן נעוצה בעובדה כי בה</w:t>
      </w:r>
      <w:r>
        <w:rPr>
          <w:rFonts w:hint="cs"/>
          <w:sz w:val="26"/>
          <w:szCs w:val="26"/>
          <w:rtl/>
        </w:rPr>
        <w:t>תאם למודל</w:t>
      </w:r>
      <w:r w:rsidR="0026161D">
        <w:rPr>
          <w:rFonts w:hint="cs"/>
          <w:sz w:val="26"/>
          <w:szCs w:val="26"/>
          <w:rtl/>
        </w:rPr>
        <w:t xml:space="preserve"> השווי ההוגן, בחשבונאות לא נרשמות הוצאות פחת בגין נדל"ן להשקעה, ואילו </w:t>
      </w:r>
      <w:r w:rsidR="009A7C00">
        <w:rPr>
          <w:rFonts w:hint="cs"/>
          <w:sz w:val="26"/>
          <w:szCs w:val="26"/>
          <w:rtl/>
        </w:rPr>
        <w:t>במיש</w:t>
      </w:r>
      <w:r>
        <w:rPr>
          <w:rFonts w:hint="cs"/>
          <w:sz w:val="26"/>
          <w:szCs w:val="26"/>
          <w:rtl/>
        </w:rPr>
        <w:t>ור המיסוי כן ניתן, ב</w:t>
      </w:r>
      <w:r w:rsidR="009A7C00">
        <w:rPr>
          <w:rFonts w:hint="cs"/>
          <w:sz w:val="26"/>
          <w:szCs w:val="26"/>
          <w:rtl/>
        </w:rPr>
        <w:t xml:space="preserve">רגיל, לתבוע הוצאות פחת בקשר למבנים (אך לא בקשר לקרקע עליה הוקם בניין </w:t>
      </w:r>
      <w:r w:rsidR="009A7C00">
        <w:rPr>
          <w:sz w:val="26"/>
          <w:szCs w:val="26"/>
          <w:rtl/>
        </w:rPr>
        <w:t>–</w:t>
      </w:r>
      <w:r w:rsidR="009A7C00">
        <w:rPr>
          <w:rFonts w:hint="cs"/>
          <w:sz w:val="26"/>
          <w:szCs w:val="26"/>
          <w:rtl/>
        </w:rPr>
        <w:t xml:space="preserve"> ראו סעיף 21(א) לפקודה). </w:t>
      </w:r>
    </w:p>
    <w:p w:rsidR="00B40299" w:rsidRDefault="00B40299" w:rsidP="00B40299">
      <w:pPr>
        <w:pStyle w:val="ac"/>
        <w:spacing w:line="360" w:lineRule="auto"/>
        <w:ind w:left="397" w:right="-454"/>
        <w:jc w:val="both"/>
        <w:rPr>
          <w:sz w:val="26"/>
          <w:szCs w:val="26"/>
        </w:rPr>
      </w:pPr>
    </w:p>
    <w:p w:rsidR="00C16F76" w:rsidRDefault="009A7C00" w:rsidP="00E425A6">
      <w:pPr>
        <w:pStyle w:val="ac"/>
        <w:spacing w:line="360" w:lineRule="auto"/>
        <w:ind w:left="397" w:right="-454"/>
        <w:jc w:val="both"/>
        <w:rPr>
          <w:sz w:val="26"/>
          <w:szCs w:val="26"/>
          <w:rtl/>
        </w:rPr>
      </w:pPr>
      <w:r>
        <w:rPr>
          <w:rFonts w:hint="cs"/>
          <w:sz w:val="26"/>
          <w:szCs w:val="26"/>
          <w:rtl/>
        </w:rPr>
        <w:t>הסוגיה</w:t>
      </w:r>
      <w:r w:rsidR="001D0089">
        <w:rPr>
          <w:rFonts w:hint="cs"/>
          <w:sz w:val="26"/>
          <w:szCs w:val="26"/>
          <w:rtl/>
        </w:rPr>
        <w:t xml:space="preserve"> </w:t>
      </w:r>
      <w:r>
        <w:rPr>
          <w:rFonts w:hint="cs"/>
          <w:sz w:val="26"/>
          <w:szCs w:val="26"/>
          <w:rtl/>
        </w:rPr>
        <w:t>מגיעה להכרעה בפניי על רקע פסיקתו של בית המשפט העליון</w:t>
      </w:r>
      <w:r w:rsidR="001B3576">
        <w:rPr>
          <w:rFonts w:hint="cs"/>
          <w:sz w:val="26"/>
          <w:szCs w:val="26"/>
          <w:rtl/>
        </w:rPr>
        <w:t xml:space="preserve"> </w:t>
      </w:r>
      <w:r w:rsidR="00F21AF3" w:rsidRPr="00F21AF3">
        <w:rPr>
          <w:rFonts w:hint="cs"/>
          <w:sz w:val="26"/>
          <w:szCs w:val="26"/>
          <w:rtl/>
        </w:rPr>
        <w:t>בעניין</w:t>
      </w:r>
      <w:r w:rsidR="00F21AF3">
        <w:rPr>
          <w:rFonts w:hint="cs"/>
          <w:b/>
          <w:bCs/>
          <w:sz w:val="26"/>
          <w:szCs w:val="26"/>
          <w:rtl/>
        </w:rPr>
        <w:t xml:space="preserve"> קניון דרורים</w:t>
      </w:r>
      <w:r w:rsidR="00F113CA" w:rsidRPr="00F113CA">
        <w:rPr>
          <w:rFonts w:hint="cs"/>
          <w:sz w:val="26"/>
          <w:szCs w:val="26"/>
          <w:rtl/>
        </w:rPr>
        <w:t>,</w:t>
      </w:r>
      <w:r w:rsidR="00F21AF3">
        <w:rPr>
          <w:rFonts w:hint="cs"/>
          <w:b/>
          <w:bCs/>
          <w:sz w:val="26"/>
          <w:szCs w:val="26"/>
          <w:rtl/>
        </w:rPr>
        <w:t xml:space="preserve"> </w:t>
      </w:r>
      <w:r w:rsidR="00A35425">
        <w:rPr>
          <w:rFonts w:hint="cs"/>
          <w:sz w:val="26"/>
          <w:szCs w:val="26"/>
          <w:rtl/>
        </w:rPr>
        <w:t>שם נדונו שני מקרים בהם חברות אשר יישמו</w:t>
      </w:r>
      <w:r w:rsidR="00D12ACA">
        <w:rPr>
          <w:rFonts w:hint="cs"/>
          <w:sz w:val="26"/>
          <w:szCs w:val="26"/>
          <w:rtl/>
        </w:rPr>
        <w:t xml:space="preserve"> את מודל השו</w:t>
      </w:r>
      <w:r w:rsidR="00A35425">
        <w:rPr>
          <w:rFonts w:hint="cs"/>
          <w:sz w:val="26"/>
          <w:szCs w:val="26"/>
          <w:rtl/>
        </w:rPr>
        <w:t>וי ההוגן לגבי נדל"ן להשקעה חילקו</w:t>
      </w:r>
      <w:r w:rsidR="00D12ACA">
        <w:rPr>
          <w:rFonts w:hint="cs"/>
          <w:sz w:val="26"/>
          <w:szCs w:val="26"/>
          <w:rtl/>
        </w:rPr>
        <w:t xml:space="preserve"> דיבידנדים </w:t>
      </w:r>
      <w:r w:rsidR="00D12ACA">
        <w:rPr>
          <w:rFonts w:hint="cs"/>
          <w:b/>
          <w:bCs/>
          <w:sz w:val="26"/>
          <w:szCs w:val="26"/>
          <w:rtl/>
        </w:rPr>
        <w:t>מתוך רווחי הש</w:t>
      </w:r>
      <w:r w:rsidR="00A35425">
        <w:rPr>
          <w:rFonts w:hint="cs"/>
          <w:b/>
          <w:bCs/>
          <w:sz w:val="26"/>
          <w:szCs w:val="26"/>
          <w:rtl/>
        </w:rPr>
        <w:t>ע</w:t>
      </w:r>
      <w:r w:rsidR="000911C7">
        <w:rPr>
          <w:rFonts w:hint="cs"/>
          <w:b/>
          <w:bCs/>
          <w:sz w:val="26"/>
          <w:szCs w:val="26"/>
          <w:rtl/>
        </w:rPr>
        <w:t>ר</w:t>
      </w:r>
      <w:r w:rsidR="00A35425">
        <w:rPr>
          <w:rFonts w:hint="cs"/>
          <w:b/>
          <w:bCs/>
          <w:sz w:val="26"/>
          <w:szCs w:val="26"/>
          <w:rtl/>
        </w:rPr>
        <w:t>ו</w:t>
      </w:r>
      <w:r w:rsidR="000911C7">
        <w:rPr>
          <w:rFonts w:hint="cs"/>
          <w:b/>
          <w:bCs/>
          <w:sz w:val="26"/>
          <w:szCs w:val="26"/>
          <w:rtl/>
        </w:rPr>
        <w:t>ך</w:t>
      </w:r>
      <w:r w:rsidR="008B4120">
        <w:rPr>
          <w:rFonts w:hint="cs"/>
          <w:sz w:val="26"/>
          <w:szCs w:val="26"/>
          <w:rtl/>
        </w:rPr>
        <w:t>, דהיינו</w:t>
      </w:r>
      <w:r w:rsidR="009A633D">
        <w:rPr>
          <w:rFonts w:hint="cs"/>
          <w:sz w:val="26"/>
          <w:szCs w:val="26"/>
          <w:rtl/>
        </w:rPr>
        <w:t>,</w:t>
      </w:r>
      <w:r w:rsidR="00A35425">
        <w:rPr>
          <w:rFonts w:hint="cs"/>
          <w:sz w:val="26"/>
          <w:szCs w:val="26"/>
          <w:rtl/>
        </w:rPr>
        <w:t xml:space="preserve"> מתוך</w:t>
      </w:r>
      <w:r w:rsidR="008B4120">
        <w:rPr>
          <w:rFonts w:hint="cs"/>
          <w:sz w:val="26"/>
          <w:szCs w:val="26"/>
          <w:rtl/>
        </w:rPr>
        <w:t xml:space="preserve"> הרווח החשבונאי ה</w:t>
      </w:r>
      <w:r w:rsidR="000911C7">
        <w:rPr>
          <w:rFonts w:hint="cs"/>
          <w:sz w:val="26"/>
          <w:szCs w:val="26"/>
          <w:rtl/>
        </w:rPr>
        <w:t>נ</w:t>
      </w:r>
      <w:r w:rsidR="008B4120">
        <w:rPr>
          <w:rFonts w:hint="cs"/>
          <w:sz w:val="26"/>
          <w:szCs w:val="26"/>
          <w:rtl/>
        </w:rPr>
        <w:t>ו</w:t>
      </w:r>
      <w:r w:rsidR="000911C7">
        <w:rPr>
          <w:rFonts w:hint="cs"/>
          <w:sz w:val="26"/>
          <w:szCs w:val="26"/>
          <w:rtl/>
        </w:rPr>
        <w:t xml:space="preserve">בע </w:t>
      </w:r>
      <w:r w:rsidR="000911C7" w:rsidRPr="00E425A6">
        <w:rPr>
          <w:rFonts w:hint="cs"/>
          <w:b/>
          <w:bCs/>
          <w:sz w:val="26"/>
          <w:szCs w:val="26"/>
          <w:rtl/>
        </w:rPr>
        <w:t>מהעלייה</w:t>
      </w:r>
      <w:r w:rsidR="00A35425" w:rsidRPr="00E425A6">
        <w:rPr>
          <w:rFonts w:hint="cs"/>
          <w:b/>
          <w:bCs/>
          <w:sz w:val="26"/>
          <w:szCs w:val="26"/>
          <w:rtl/>
        </w:rPr>
        <w:t xml:space="preserve"> בערך נכסי הנדל"ן</w:t>
      </w:r>
      <w:r w:rsidR="00A35425">
        <w:rPr>
          <w:rFonts w:hint="cs"/>
          <w:sz w:val="26"/>
          <w:szCs w:val="26"/>
          <w:rtl/>
        </w:rPr>
        <w:t xml:space="preserve"> בתקופת המדידה. </w:t>
      </w:r>
      <w:r w:rsidR="009A633D">
        <w:rPr>
          <w:rFonts w:hint="cs"/>
          <w:sz w:val="26"/>
          <w:szCs w:val="26"/>
          <w:rtl/>
        </w:rPr>
        <w:t>התעוררה</w:t>
      </w:r>
      <w:r w:rsidR="000911C7">
        <w:rPr>
          <w:rFonts w:hint="cs"/>
          <w:sz w:val="26"/>
          <w:szCs w:val="26"/>
          <w:rtl/>
        </w:rPr>
        <w:t xml:space="preserve"> </w:t>
      </w:r>
      <w:r w:rsidR="00A35425">
        <w:rPr>
          <w:rFonts w:hint="cs"/>
          <w:sz w:val="26"/>
          <w:szCs w:val="26"/>
          <w:rtl/>
        </w:rPr>
        <w:t xml:space="preserve">שם </w:t>
      </w:r>
      <w:r w:rsidR="000911C7">
        <w:rPr>
          <w:rFonts w:hint="cs"/>
          <w:sz w:val="26"/>
          <w:szCs w:val="26"/>
          <w:rtl/>
        </w:rPr>
        <w:t xml:space="preserve">השאלה האם על דיבידנד </w:t>
      </w:r>
      <w:r w:rsidR="000911C7">
        <w:rPr>
          <w:rFonts w:hint="cs"/>
          <w:b/>
          <w:bCs/>
          <w:sz w:val="26"/>
          <w:szCs w:val="26"/>
          <w:rtl/>
        </w:rPr>
        <w:t>כזה</w:t>
      </w:r>
      <w:r w:rsidR="00A35425">
        <w:rPr>
          <w:rFonts w:hint="cs"/>
          <w:sz w:val="26"/>
          <w:szCs w:val="26"/>
          <w:rtl/>
        </w:rPr>
        <w:t xml:space="preserve"> חל סעיף 126(ב) לפקודה אצל החברות</w:t>
      </w:r>
      <w:r w:rsidR="000911C7">
        <w:rPr>
          <w:rFonts w:hint="cs"/>
          <w:sz w:val="26"/>
          <w:szCs w:val="26"/>
          <w:rtl/>
        </w:rPr>
        <w:t xml:space="preserve"> המקבל</w:t>
      </w:r>
      <w:r w:rsidR="00A35425">
        <w:rPr>
          <w:rFonts w:hint="cs"/>
          <w:sz w:val="26"/>
          <w:szCs w:val="26"/>
          <w:rtl/>
        </w:rPr>
        <w:t>ו</w:t>
      </w:r>
      <w:r w:rsidR="000911C7">
        <w:rPr>
          <w:rFonts w:hint="cs"/>
          <w:sz w:val="26"/>
          <w:szCs w:val="26"/>
          <w:rtl/>
        </w:rPr>
        <w:t>ת</w:t>
      </w:r>
      <w:r w:rsidR="00A35425">
        <w:rPr>
          <w:rFonts w:hint="cs"/>
          <w:sz w:val="26"/>
          <w:szCs w:val="26"/>
          <w:rtl/>
        </w:rPr>
        <w:t xml:space="preserve"> (בעלות המניה)</w:t>
      </w:r>
      <w:r w:rsidR="000911C7">
        <w:rPr>
          <w:rFonts w:hint="cs"/>
          <w:sz w:val="26"/>
          <w:szCs w:val="26"/>
          <w:rtl/>
        </w:rPr>
        <w:t xml:space="preserve">. בשני פסקי דין של בתי המשפט המחוזיים ניתנה תשובה שלילית לשאלה זו (פסק הדין הראשון ניתן על כבוד השופט סטולר בע"מ </w:t>
      </w:r>
      <w:r w:rsidR="009A633D">
        <w:rPr>
          <w:rFonts w:hint="cs"/>
          <w:sz w:val="26"/>
          <w:szCs w:val="26"/>
          <w:rtl/>
        </w:rPr>
        <w:t xml:space="preserve">44118-10-14 </w:t>
      </w:r>
      <w:r w:rsidR="009A633D">
        <w:rPr>
          <w:rFonts w:hint="cs"/>
          <w:b/>
          <w:bCs/>
          <w:sz w:val="26"/>
          <w:szCs w:val="26"/>
          <w:rtl/>
        </w:rPr>
        <w:t>אם.סי.אל</w:t>
      </w:r>
      <w:r w:rsidR="001D0089">
        <w:rPr>
          <w:rFonts w:hint="cs"/>
          <w:b/>
          <w:bCs/>
          <w:sz w:val="26"/>
          <w:szCs w:val="26"/>
          <w:rtl/>
        </w:rPr>
        <w:t>.</w:t>
      </w:r>
      <w:r w:rsidR="009A633D">
        <w:rPr>
          <w:rFonts w:hint="cs"/>
          <w:b/>
          <w:bCs/>
          <w:sz w:val="26"/>
          <w:szCs w:val="26"/>
          <w:rtl/>
        </w:rPr>
        <w:t xml:space="preserve"> קניון דרורים בע"מ נ' פקיד שומה פתח תקווה</w:t>
      </w:r>
      <w:r w:rsidR="009A633D">
        <w:rPr>
          <w:rFonts w:hint="cs"/>
          <w:sz w:val="26"/>
          <w:szCs w:val="26"/>
          <w:rtl/>
        </w:rPr>
        <w:t>, מיו</w:t>
      </w:r>
      <w:r>
        <w:rPr>
          <w:rFonts w:hint="cs"/>
          <w:sz w:val="26"/>
          <w:szCs w:val="26"/>
          <w:rtl/>
        </w:rPr>
        <w:t>ם</w:t>
      </w:r>
      <w:r w:rsidR="009A633D">
        <w:rPr>
          <w:rFonts w:hint="cs"/>
          <w:sz w:val="26"/>
          <w:szCs w:val="26"/>
          <w:rtl/>
        </w:rPr>
        <w:t xml:space="preserve"> 8.1.2018</w:t>
      </w:r>
      <w:r w:rsidR="000911C7">
        <w:rPr>
          <w:rFonts w:hint="cs"/>
          <w:sz w:val="26"/>
          <w:szCs w:val="26"/>
          <w:rtl/>
        </w:rPr>
        <w:t xml:space="preserve">, ופסק הדין השני ניתן על ידיי בע"מ </w:t>
      </w:r>
      <w:r w:rsidR="009A633D">
        <w:rPr>
          <w:rFonts w:hint="cs"/>
          <w:sz w:val="26"/>
          <w:szCs w:val="26"/>
          <w:rtl/>
        </w:rPr>
        <w:t xml:space="preserve">38832-03-15 </w:t>
      </w:r>
      <w:r w:rsidR="009A633D">
        <w:rPr>
          <w:rFonts w:hint="cs"/>
          <w:b/>
          <w:bCs/>
          <w:sz w:val="26"/>
          <w:szCs w:val="26"/>
          <w:rtl/>
        </w:rPr>
        <w:t>אורו</w:t>
      </w:r>
      <w:r w:rsidR="005B5018">
        <w:rPr>
          <w:rFonts w:hint="cs"/>
          <w:b/>
          <w:bCs/>
          <w:sz w:val="26"/>
          <w:szCs w:val="26"/>
          <w:rtl/>
        </w:rPr>
        <w:t>ן אחזקות מלונאות ותיירות בע"מ נ' פקיד שומה יחידה ארצית לשומה</w:t>
      </w:r>
      <w:r w:rsidR="005B5018">
        <w:rPr>
          <w:rFonts w:hint="cs"/>
          <w:sz w:val="26"/>
          <w:szCs w:val="26"/>
          <w:rtl/>
        </w:rPr>
        <w:t>, מיום 9.12.2018</w:t>
      </w:r>
      <w:r w:rsidR="000911C7">
        <w:rPr>
          <w:rFonts w:hint="cs"/>
          <w:sz w:val="26"/>
          <w:szCs w:val="26"/>
          <w:rtl/>
        </w:rPr>
        <w:t xml:space="preserve">). </w:t>
      </w:r>
      <w:r w:rsidR="008B4120">
        <w:rPr>
          <w:rFonts w:hint="cs"/>
          <w:sz w:val="26"/>
          <w:szCs w:val="26"/>
          <w:rtl/>
        </w:rPr>
        <w:t>בית המשפט העליון</w:t>
      </w:r>
      <w:r w:rsidR="000911C7">
        <w:rPr>
          <w:rFonts w:hint="cs"/>
          <w:sz w:val="26"/>
          <w:szCs w:val="26"/>
          <w:rtl/>
        </w:rPr>
        <w:t xml:space="preserve"> אישר תוצאה זו</w:t>
      </w:r>
      <w:r w:rsidR="00A35425">
        <w:rPr>
          <w:rFonts w:hint="cs"/>
          <w:sz w:val="26"/>
          <w:szCs w:val="26"/>
          <w:rtl/>
        </w:rPr>
        <w:t>,</w:t>
      </w:r>
      <w:r w:rsidR="00D74D9F">
        <w:rPr>
          <w:rFonts w:hint="cs"/>
          <w:sz w:val="26"/>
          <w:szCs w:val="26"/>
          <w:rtl/>
        </w:rPr>
        <w:t xml:space="preserve"> ובקשה לקיום דיון נוסף בסוגיה האמורה</w:t>
      </w:r>
      <w:r w:rsidR="000911C7">
        <w:rPr>
          <w:rFonts w:hint="cs"/>
          <w:sz w:val="26"/>
          <w:szCs w:val="26"/>
          <w:rtl/>
        </w:rPr>
        <w:t xml:space="preserve"> נדחתה (</w:t>
      </w:r>
      <w:r w:rsidR="005B5018">
        <w:rPr>
          <w:rFonts w:hint="cs"/>
          <w:sz w:val="26"/>
          <w:szCs w:val="26"/>
          <w:rtl/>
        </w:rPr>
        <w:t>דנ"א 5388/20</w:t>
      </w:r>
      <w:r>
        <w:rPr>
          <w:rFonts w:hint="cs"/>
          <w:sz w:val="26"/>
          <w:szCs w:val="26"/>
          <w:rtl/>
        </w:rPr>
        <w:t>,</w:t>
      </w:r>
      <w:r w:rsidR="005B5018">
        <w:rPr>
          <w:rFonts w:hint="cs"/>
          <w:sz w:val="26"/>
          <w:szCs w:val="26"/>
          <w:rtl/>
        </w:rPr>
        <w:t xml:space="preserve"> מיום 11.10.2020, החלטה מפי כבוד הנשיאה חיות</w:t>
      </w:r>
      <w:r w:rsidR="000911C7">
        <w:rPr>
          <w:rFonts w:hint="cs"/>
          <w:sz w:val="26"/>
          <w:szCs w:val="26"/>
          <w:rtl/>
        </w:rPr>
        <w:t xml:space="preserve">). </w:t>
      </w:r>
    </w:p>
    <w:p w:rsidR="009A7C00" w:rsidRDefault="009A7C00" w:rsidP="009A7C00">
      <w:pPr>
        <w:pStyle w:val="ac"/>
        <w:spacing w:line="360" w:lineRule="auto"/>
        <w:ind w:left="397" w:right="-454"/>
        <w:jc w:val="both"/>
        <w:rPr>
          <w:sz w:val="26"/>
          <w:szCs w:val="26"/>
        </w:rPr>
      </w:pPr>
    </w:p>
    <w:p w:rsidR="000911C7" w:rsidRDefault="000911C7" w:rsidP="00E425A6">
      <w:pPr>
        <w:pStyle w:val="ac"/>
        <w:numPr>
          <w:ilvl w:val="0"/>
          <w:numId w:val="2"/>
        </w:numPr>
        <w:spacing w:line="360" w:lineRule="auto"/>
        <w:ind w:left="397" w:right="-454"/>
        <w:jc w:val="both"/>
        <w:rPr>
          <w:sz w:val="26"/>
          <w:szCs w:val="26"/>
          <w:rtl/>
        </w:rPr>
      </w:pPr>
      <w:r>
        <w:rPr>
          <w:rFonts w:hint="cs"/>
          <w:sz w:val="26"/>
          <w:szCs w:val="26"/>
          <w:rtl/>
        </w:rPr>
        <w:t xml:space="preserve">כפי שיבואר להלן ביתר פירוט, הנימוק שניתן בעניין </w:t>
      </w:r>
      <w:r w:rsidR="00D74D9F" w:rsidRPr="00D74D9F">
        <w:rPr>
          <w:rFonts w:hint="cs"/>
          <w:b/>
          <w:bCs/>
          <w:sz w:val="26"/>
          <w:szCs w:val="26"/>
          <w:rtl/>
        </w:rPr>
        <w:t>קניון</w:t>
      </w:r>
      <w:r w:rsidR="00D74D9F">
        <w:rPr>
          <w:rFonts w:hint="cs"/>
          <w:sz w:val="26"/>
          <w:szCs w:val="26"/>
          <w:rtl/>
        </w:rPr>
        <w:t xml:space="preserve"> </w:t>
      </w:r>
      <w:r>
        <w:rPr>
          <w:rFonts w:hint="cs"/>
          <w:b/>
          <w:bCs/>
          <w:sz w:val="26"/>
          <w:szCs w:val="26"/>
          <w:rtl/>
        </w:rPr>
        <w:t>דרורים</w:t>
      </w:r>
      <w:r>
        <w:rPr>
          <w:rFonts w:hint="cs"/>
          <w:sz w:val="26"/>
          <w:szCs w:val="26"/>
          <w:rtl/>
        </w:rPr>
        <w:t xml:space="preserve"> לדחיית עמדת המערערות </w:t>
      </w:r>
      <w:r w:rsidR="00D74D9F">
        <w:rPr>
          <w:rFonts w:hint="cs"/>
          <w:sz w:val="26"/>
          <w:szCs w:val="26"/>
          <w:rtl/>
        </w:rPr>
        <w:t xml:space="preserve">שם </w:t>
      </w:r>
      <w:r>
        <w:rPr>
          <w:rFonts w:hint="cs"/>
          <w:sz w:val="26"/>
          <w:szCs w:val="26"/>
          <w:rtl/>
        </w:rPr>
        <w:t xml:space="preserve">היה פשוט: הרווח החשבונאי המבוסס על שערוך הנדל"ן להשקעה, שהוא פרי מודל השווי ההוגן, </w:t>
      </w:r>
      <w:r w:rsidRPr="00D74D9F">
        <w:rPr>
          <w:rFonts w:hint="cs"/>
          <w:b/>
          <w:bCs/>
          <w:sz w:val="26"/>
          <w:szCs w:val="26"/>
          <w:rtl/>
        </w:rPr>
        <w:t>כלל איננו בבחינת "הכנסה" לצורכי  מס</w:t>
      </w:r>
      <w:r>
        <w:rPr>
          <w:rFonts w:hint="cs"/>
          <w:sz w:val="26"/>
          <w:szCs w:val="26"/>
          <w:rtl/>
        </w:rPr>
        <w:t xml:space="preserve"> </w:t>
      </w:r>
      <w:r>
        <w:rPr>
          <w:sz w:val="26"/>
          <w:szCs w:val="26"/>
          <w:rtl/>
        </w:rPr>
        <w:t>–</w:t>
      </w:r>
      <w:r>
        <w:rPr>
          <w:rFonts w:hint="cs"/>
          <w:sz w:val="26"/>
          <w:szCs w:val="26"/>
          <w:rtl/>
        </w:rPr>
        <w:t xml:space="preserve"> מפני שהנכסים ששוויים עלה טרם מומשו </w:t>
      </w:r>
      <w:r>
        <w:rPr>
          <w:sz w:val="26"/>
          <w:szCs w:val="26"/>
          <w:rtl/>
        </w:rPr>
        <w:t>–</w:t>
      </w:r>
      <w:r>
        <w:rPr>
          <w:rFonts w:hint="cs"/>
          <w:sz w:val="26"/>
          <w:szCs w:val="26"/>
          <w:rtl/>
        </w:rPr>
        <w:t xml:space="preserve"> ועל כן היסוד הראשון הנדרש לפי סעיף 126(ב) </w:t>
      </w:r>
      <w:r w:rsidR="005B5018">
        <w:rPr>
          <w:rFonts w:hint="cs"/>
          <w:sz w:val="26"/>
          <w:szCs w:val="26"/>
          <w:rtl/>
        </w:rPr>
        <w:t>לא התקיים.</w:t>
      </w:r>
      <w:r>
        <w:rPr>
          <w:rFonts w:hint="cs"/>
          <w:sz w:val="26"/>
          <w:szCs w:val="26"/>
          <w:rtl/>
        </w:rPr>
        <w:t xml:space="preserve"> </w:t>
      </w:r>
    </w:p>
    <w:p w:rsidR="008B4120" w:rsidRDefault="008B4120" w:rsidP="008B4120">
      <w:pPr>
        <w:pStyle w:val="ac"/>
        <w:spacing w:line="360" w:lineRule="auto"/>
        <w:ind w:left="397" w:right="-454"/>
        <w:jc w:val="both"/>
        <w:rPr>
          <w:sz w:val="26"/>
          <w:szCs w:val="26"/>
          <w:rtl/>
        </w:rPr>
      </w:pPr>
    </w:p>
    <w:p w:rsidR="000911C7" w:rsidRDefault="000911C7" w:rsidP="00E425A6">
      <w:pPr>
        <w:pStyle w:val="ac"/>
        <w:spacing w:line="360" w:lineRule="auto"/>
        <w:ind w:left="397" w:right="-454"/>
        <w:jc w:val="both"/>
        <w:rPr>
          <w:sz w:val="26"/>
          <w:szCs w:val="26"/>
          <w:rtl/>
        </w:rPr>
      </w:pPr>
      <w:r>
        <w:rPr>
          <w:rFonts w:hint="cs"/>
          <w:sz w:val="26"/>
          <w:szCs w:val="26"/>
          <w:rtl/>
        </w:rPr>
        <w:t xml:space="preserve">מעבר </w:t>
      </w:r>
      <w:r w:rsidR="008B4120">
        <w:rPr>
          <w:rFonts w:hint="cs"/>
          <w:sz w:val="26"/>
          <w:szCs w:val="26"/>
          <w:rtl/>
        </w:rPr>
        <w:t>לעי</w:t>
      </w:r>
      <w:r>
        <w:rPr>
          <w:rFonts w:hint="cs"/>
          <w:sz w:val="26"/>
          <w:szCs w:val="26"/>
          <w:rtl/>
        </w:rPr>
        <w:t>ג</w:t>
      </w:r>
      <w:r w:rsidR="008B4120">
        <w:rPr>
          <w:rFonts w:hint="cs"/>
          <w:sz w:val="26"/>
          <w:szCs w:val="26"/>
          <w:rtl/>
        </w:rPr>
        <w:t>ו</w:t>
      </w:r>
      <w:r w:rsidR="005B5018">
        <w:rPr>
          <w:rFonts w:hint="cs"/>
          <w:sz w:val="26"/>
          <w:szCs w:val="26"/>
          <w:rtl/>
        </w:rPr>
        <w:t xml:space="preserve">נה במישור המילולי, פסיקת בית המשפט העליון </w:t>
      </w:r>
      <w:r w:rsidR="00E425A6">
        <w:rPr>
          <w:rFonts w:hint="cs"/>
          <w:sz w:val="26"/>
          <w:szCs w:val="26"/>
          <w:rtl/>
        </w:rPr>
        <w:t>שאפה</w:t>
      </w:r>
      <w:r w:rsidR="005B5018">
        <w:rPr>
          <w:rFonts w:hint="cs"/>
          <w:sz w:val="26"/>
          <w:szCs w:val="26"/>
          <w:rtl/>
        </w:rPr>
        <w:t xml:space="preserve"> </w:t>
      </w:r>
      <w:r>
        <w:rPr>
          <w:rFonts w:hint="cs"/>
          <w:sz w:val="26"/>
          <w:szCs w:val="26"/>
          <w:rtl/>
        </w:rPr>
        <w:t xml:space="preserve">להגשים </w:t>
      </w:r>
      <w:r w:rsidR="009A7C00">
        <w:rPr>
          <w:rFonts w:hint="cs"/>
          <w:sz w:val="26"/>
          <w:szCs w:val="26"/>
          <w:rtl/>
        </w:rPr>
        <w:t xml:space="preserve">גם </w:t>
      </w:r>
      <w:r>
        <w:rPr>
          <w:rFonts w:hint="cs"/>
          <w:sz w:val="26"/>
          <w:szCs w:val="26"/>
          <w:rtl/>
        </w:rPr>
        <w:t>את תכלית מודל המיסוי הדו-שלבי</w:t>
      </w:r>
      <w:r w:rsidR="00E425A6">
        <w:rPr>
          <w:rFonts w:hint="cs"/>
          <w:sz w:val="26"/>
          <w:szCs w:val="26"/>
          <w:rtl/>
        </w:rPr>
        <w:t xml:space="preserve">. </w:t>
      </w:r>
      <w:r w:rsidR="00D74D9F">
        <w:rPr>
          <w:rFonts w:hint="cs"/>
          <w:sz w:val="26"/>
          <w:szCs w:val="26"/>
          <w:rtl/>
        </w:rPr>
        <w:t>אמנם</w:t>
      </w:r>
      <w:r w:rsidR="005B5018">
        <w:rPr>
          <w:rFonts w:hint="cs"/>
          <w:sz w:val="26"/>
          <w:szCs w:val="26"/>
          <w:rtl/>
        </w:rPr>
        <w:t xml:space="preserve"> מטרת</w:t>
      </w:r>
      <w:r w:rsidR="00D74D9F">
        <w:rPr>
          <w:rFonts w:hint="cs"/>
          <w:sz w:val="26"/>
          <w:szCs w:val="26"/>
          <w:rtl/>
        </w:rPr>
        <w:t xml:space="preserve"> סעיף 126(ב) </w:t>
      </w:r>
      <w:r w:rsidR="005B5018">
        <w:rPr>
          <w:rFonts w:hint="cs"/>
          <w:sz w:val="26"/>
          <w:szCs w:val="26"/>
          <w:rtl/>
        </w:rPr>
        <w:t xml:space="preserve">לפקודה היא </w:t>
      </w:r>
      <w:r w:rsidR="00D74D9F">
        <w:rPr>
          <w:rFonts w:hint="cs"/>
          <w:sz w:val="26"/>
          <w:szCs w:val="26"/>
          <w:rtl/>
        </w:rPr>
        <w:t xml:space="preserve">למנוע </w:t>
      </w:r>
      <w:r w:rsidR="00D74D9F">
        <w:rPr>
          <w:rFonts w:hint="cs"/>
          <w:b/>
          <w:bCs/>
          <w:sz w:val="26"/>
          <w:szCs w:val="26"/>
          <w:rtl/>
        </w:rPr>
        <w:t>מיסוי-</w:t>
      </w:r>
      <w:r w:rsidR="00E425A6">
        <w:rPr>
          <w:rFonts w:hint="cs"/>
          <w:b/>
          <w:bCs/>
          <w:sz w:val="26"/>
          <w:szCs w:val="26"/>
          <w:rtl/>
        </w:rPr>
        <w:t>ה</w:t>
      </w:r>
      <w:r>
        <w:rPr>
          <w:rFonts w:hint="cs"/>
          <w:b/>
          <w:bCs/>
          <w:sz w:val="26"/>
          <w:szCs w:val="26"/>
          <w:rtl/>
        </w:rPr>
        <w:t>יתר</w:t>
      </w:r>
      <w:r w:rsidR="008B4120">
        <w:rPr>
          <w:rFonts w:hint="cs"/>
          <w:sz w:val="26"/>
          <w:szCs w:val="26"/>
          <w:rtl/>
        </w:rPr>
        <w:t xml:space="preserve"> ש</w:t>
      </w:r>
      <w:r w:rsidR="00D74D9F">
        <w:rPr>
          <w:rFonts w:hint="cs"/>
          <w:sz w:val="26"/>
          <w:szCs w:val="26"/>
          <w:rtl/>
        </w:rPr>
        <w:t xml:space="preserve">היה </w:t>
      </w:r>
      <w:r>
        <w:rPr>
          <w:rFonts w:hint="cs"/>
          <w:sz w:val="26"/>
          <w:szCs w:val="26"/>
          <w:rtl/>
        </w:rPr>
        <w:t xml:space="preserve">נגרם אם כל חברת ביניים </w:t>
      </w:r>
      <w:r w:rsidR="005B5018">
        <w:rPr>
          <w:rFonts w:hint="cs"/>
          <w:sz w:val="26"/>
          <w:szCs w:val="26"/>
          <w:rtl/>
        </w:rPr>
        <w:t>במעלה שרשרת ההחזקה</w:t>
      </w:r>
      <w:r w:rsidR="00D74D9F">
        <w:rPr>
          <w:rFonts w:hint="cs"/>
          <w:sz w:val="26"/>
          <w:szCs w:val="26"/>
          <w:rtl/>
        </w:rPr>
        <w:t xml:space="preserve"> </w:t>
      </w:r>
      <w:r>
        <w:rPr>
          <w:rFonts w:hint="cs"/>
          <w:sz w:val="26"/>
          <w:szCs w:val="26"/>
          <w:rtl/>
        </w:rPr>
        <w:t>הייתה מתחייבת במס על חל</w:t>
      </w:r>
      <w:r w:rsidR="00D74D9F">
        <w:rPr>
          <w:rFonts w:hint="cs"/>
          <w:sz w:val="26"/>
          <w:szCs w:val="26"/>
          <w:rtl/>
        </w:rPr>
        <w:t>וקת דיבידנדים</w:t>
      </w:r>
      <w:r w:rsidR="00E425A6">
        <w:rPr>
          <w:rFonts w:hint="cs"/>
          <w:sz w:val="26"/>
          <w:szCs w:val="26"/>
          <w:rtl/>
        </w:rPr>
        <w:t>;</w:t>
      </w:r>
      <w:r w:rsidR="00D74D9F">
        <w:rPr>
          <w:rFonts w:hint="cs"/>
          <w:sz w:val="26"/>
          <w:szCs w:val="26"/>
          <w:rtl/>
        </w:rPr>
        <w:t xml:space="preserve"> </w:t>
      </w:r>
      <w:r w:rsidR="00E425A6">
        <w:rPr>
          <w:rFonts w:hint="cs"/>
          <w:sz w:val="26"/>
          <w:szCs w:val="26"/>
          <w:rtl/>
        </w:rPr>
        <w:t>על ידי כך נ</w:t>
      </w:r>
      <w:r>
        <w:rPr>
          <w:rFonts w:hint="cs"/>
          <w:sz w:val="26"/>
          <w:szCs w:val="26"/>
          <w:rtl/>
        </w:rPr>
        <w:t xml:space="preserve">שמר הדמיון </w:t>
      </w:r>
      <w:r w:rsidR="00D74D9F">
        <w:rPr>
          <w:rFonts w:hint="cs"/>
          <w:sz w:val="26"/>
          <w:szCs w:val="26"/>
          <w:rtl/>
        </w:rPr>
        <w:t xml:space="preserve">הכללי </w:t>
      </w:r>
      <w:r>
        <w:rPr>
          <w:rFonts w:hint="cs"/>
          <w:sz w:val="26"/>
          <w:szCs w:val="26"/>
          <w:rtl/>
        </w:rPr>
        <w:t>בנטל המס בין ניהול פעילות עסקית כיחיד וניהולה באמצעות חברה</w:t>
      </w:r>
      <w:r w:rsidR="00D74D9F">
        <w:rPr>
          <w:rFonts w:hint="cs"/>
          <w:sz w:val="26"/>
          <w:szCs w:val="26"/>
          <w:rtl/>
        </w:rPr>
        <w:t xml:space="preserve">. </w:t>
      </w:r>
      <w:r w:rsidR="008C44FA">
        <w:rPr>
          <w:rFonts w:hint="cs"/>
          <w:sz w:val="26"/>
          <w:szCs w:val="26"/>
          <w:rtl/>
        </w:rPr>
        <w:t>א</w:t>
      </w:r>
      <w:r>
        <w:rPr>
          <w:rFonts w:hint="cs"/>
          <w:sz w:val="26"/>
          <w:szCs w:val="26"/>
          <w:rtl/>
        </w:rPr>
        <w:t xml:space="preserve">ולם הפעלת סעיף 126(ב) במקרה בו </w:t>
      </w:r>
      <w:r w:rsidR="006E0D2A">
        <w:rPr>
          <w:rFonts w:hint="cs"/>
          <w:sz w:val="26"/>
          <w:szCs w:val="26"/>
          <w:rtl/>
        </w:rPr>
        <w:t>לא</w:t>
      </w:r>
      <w:r w:rsidR="009A7C00">
        <w:rPr>
          <w:rFonts w:hint="cs"/>
          <w:sz w:val="26"/>
          <w:szCs w:val="26"/>
          <w:rtl/>
        </w:rPr>
        <w:t xml:space="preserve"> מדובר ב</w:t>
      </w:r>
      <w:r>
        <w:rPr>
          <w:rFonts w:hint="cs"/>
          <w:sz w:val="26"/>
          <w:szCs w:val="26"/>
          <w:rtl/>
        </w:rPr>
        <w:t>"הכנסה" בידי החברה המחלקת</w:t>
      </w:r>
      <w:r w:rsidR="006E0D2A">
        <w:rPr>
          <w:rFonts w:hint="cs"/>
          <w:sz w:val="26"/>
          <w:szCs w:val="26"/>
          <w:rtl/>
        </w:rPr>
        <w:t xml:space="preserve"> </w:t>
      </w:r>
      <w:r w:rsidR="006E0D2A">
        <w:rPr>
          <w:sz w:val="26"/>
          <w:szCs w:val="26"/>
          <w:rtl/>
        </w:rPr>
        <w:t>–</w:t>
      </w:r>
      <w:r>
        <w:rPr>
          <w:rFonts w:hint="cs"/>
          <w:sz w:val="26"/>
          <w:szCs w:val="26"/>
          <w:rtl/>
        </w:rPr>
        <w:t xml:space="preserve"> </w:t>
      </w:r>
      <w:r w:rsidR="009A7C00">
        <w:rPr>
          <w:rFonts w:hint="cs"/>
          <w:sz w:val="26"/>
          <w:szCs w:val="26"/>
          <w:rtl/>
        </w:rPr>
        <w:t>וכתוצאה מ</w:t>
      </w:r>
      <w:r w:rsidR="005B5018">
        <w:rPr>
          <w:rFonts w:hint="cs"/>
          <w:sz w:val="26"/>
          <w:szCs w:val="26"/>
          <w:rtl/>
        </w:rPr>
        <w:t xml:space="preserve">כך </w:t>
      </w:r>
      <w:r w:rsidR="009A7C00">
        <w:rPr>
          <w:rFonts w:hint="cs"/>
          <w:sz w:val="26"/>
          <w:szCs w:val="26"/>
          <w:rtl/>
        </w:rPr>
        <w:t xml:space="preserve">אין היא מתחייבת במס </w:t>
      </w:r>
      <w:r w:rsidR="006E0D2A">
        <w:rPr>
          <w:sz w:val="26"/>
          <w:szCs w:val="26"/>
          <w:rtl/>
        </w:rPr>
        <w:t>–</w:t>
      </w:r>
      <w:r>
        <w:rPr>
          <w:rFonts w:hint="cs"/>
          <w:sz w:val="26"/>
          <w:szCs w:val="26"/>
          <w:rtl/>
        </w:rPr>
        <w:t xml:space="preserve"> תביא </w:t>
      </w:r>
      <w:r>
        <w:rPr>
          <w:rFonts w:hint="cs"/>
          <w:b/>
          <w:bCs/>
          <w:sz w:val="26"/>
          <w:szCs w:val="26"/>
          <w:rtl/>
        </w:rPr>
        <w:t>למיסוי בחסר</w:t>
      </w:r>
      <w:r w:rsidR="00A1483E">
        <w:rPr>
          <w:rFonts w:hint="cs"/>
          <w:sz w:val="26"/>
          <w:szCs w:val="26"/>
          <w:rtl/>
        </w:rPr>
        <w:t xml:space="preserve">, כאשר כספי הדיבידנד </w:t>
      </w:r>
      <w:r w:rsidR="00D74D9F">
        <w:rPr>
          <w:rFonts w:hint="cs"/>
          <w:sz w:val="26"/>
          <w:szCs w:val="26"/>
          <w:rtl/>
        </w:rPr>
        <w:t xml:space="preserve">יתחייבו </w:t>
      </w:r>
      <w:r w:rsidR="00A1483E">
        <w:rPr>
          <w:rFonts w:hint="cs"/>
          <w:sz w:val="26"/>
          <w:szCs w:val="26"/>
          <w:rtl/>
        </w:rPr>
        <w:t xml:space="preserve">במס בשלב </w:t>
      </w:r>
      <w:r w:rsidR="00A1483E">
        <w:rPr>
          <w:rFonts w:hint="cs"/>
          <w:b/>
          <w:bCs/>
          <w:sz w:val="26"/>
          <w:szCs w:val="26"/>
          <w:rtl/>
        </w:rPr>
        <w:t>אחד</w:t>
      </w:r>
      <w:r w:rsidR="00D74D9F">
        <w:rPr>
          <w:rFonts w:hint="cs"/>
          <w:b/>
          <w:bCs/>
          <w:sz w:val="26"/>
          <w:szCs w:val="26"/>
          <w:rtl/>
        </w:rPr>
        <w:t xml:space="preserve"> </w:t>
      </w:r>
      <w:r w:rsidR="00D74D9F">
        <w:rPr>
          <w:rFonts w:hint="cs"/>
          <w:sz w:val="26"/>
          <w:szCs w:val="26"/>
          <w:rtl/>
        </w:rPr>
        <w:t xml:space="preserve">לכל היותר: </w:t>
      </w:r>
      <w:r w:rsidR="00A1483E">
        <w:rPr>
          <w:rFonts w:hint="cs"/>
          <w:sz w:val="26"/>
          <w:szCs w:val="26"/>
          <w:rtl/>
        </w:rPr>
        <w:t xml:space="preserve">בידי </w:t>
      </w:r>
      <w:r w:rsidR="005B5018">
        <w:rPr>
          <w:rFonts w:hint="cs"/>
          <w:sz w:val="26"/>
          <w:szCs w:val="26"/>
          <w:rtl/>
        </w:rPr>
        <w:t xml:space="preserve">בעל מניות </w:t>
      </w:r>
      <w:r w:rsidR="00A1483E">
        <w:rPr>
          <w:rFonts w:hint="cs"/>
          <w:sz w:val="26"/>
          <w:szCs w:val="26"/>
          <w:rtl/>
        </w:rPr>
        <w:t>יחיד</w:t>
      </w:r>
      <w:r w:rsidR="005B5018">
        <w:rPr>
          <w:rFonts w:hint="cs"/>
          <w:sz w:val="26"/>
          <w:szCs w:val="26"/>
          <w:rtl/>
        </w:rPr>
        <w:t xml:space="preserve"> העומד</w:t>
      </w:r>
      <w:r w:rsidR="00A1483E">
        <w:rPr>
          <w:rFonts w:hint="cs"/>
          <w:sz w:val="26"/>
          <w:szCs w:val="26"/>
          <w:rtl/>
        </w:rPr>
        <w:t xml:space="preserve"> בראש שרשרת ההחזקה. </w:t>
      </w:r>
    </w:p>
    <w:p w:rsidR="008C44FA" w:rsidRDefault="008C44FA" w:rsidP="008B4120">
      <w:pPr>
        <w:pStyle w:val="ac"/>
        <w:spacing w:line="360" w:lineRule="auto"/>
        <w:ind w:left="397" w:right="-454"/>
        <w:jc w:val="both"/>
        <w:rPr>
          <w:sz w:val="26"/>
          <w:szCs w:val="26"/>
          <w:rtl/>
        </w:rPr>
      </w:pPr>
    </w:p>
    <w:p w:rsidR="00A1483E" w:rsidRPr="00D74D9F" w:rsidRDefault="009A7C00" w:rsidP="009A7C00">
      <w:pPr>
        <w:pStyle w:val="ac"/>
        <w:numPr>
          <w:ilvl w:val="0"/>
          <w:numId w:val="2"/>
        </w:numPr>
        <w:spacing w:line="360" w:lineRule="auto"/>
        <w:ind w:left="397" w:right="-454"/>
        <w:jc w:val="both"/>
        <w:rPr>
          <w:sz w:val="26"/>
          <w:szCs w:val="26"/>
          <w:rtl/>
        </w:rPr>
      </w:pPr>
      <w:r>
        <w:rPr>
          <w:rFonts w:hint="cs"/>
          <w:sz w:val="26"/>
          <w:szCs w:val="26"/>
          <w:rtl/>
        </w:rPr>
        <w:t xml:space="preserve">ניתן אפוא לומר כי </w:t>
      </w:r>
      <w:r w:rsidR="00D74D9F" w:rsidRPr="00D74D9F">
        <w:rPr>
          <w:rFonts w:hint="cs"/>
          <w:sz w:val="26"/>
          <w:szCs w:val="26"/>
          <w:rtl/>
        </w:rPr>
        <w:t>המקרים</w:t>
      </w:r>
      <w:r w:rsidR="00A1483E" w:rsidRPr="00D74D9F">
        <w:rPr>
          <w:rFonts w:hint="cs"/>
          <w:sz w:val="26"/>
          <w:szCs w:val="26"/>
          <w:rtl/>
        </w:rPr>
        <w:t xml:space="preserve"> של </w:t>
      </w:r>
      <w:r w:rsidR="00D74D9F" w:rsidRPr="00D74D9F">
        <w:rPr>
          <w:rFonts w:hint="cs"/>
          <w:b/>
          <w:bCs/>
          <w:sz w:val="26"/>
          <w:szCs w:val="26"/>
          <w:rtl/>
        </w:rPr>
        <w:t>קניון</w:t>
      </w:r>
      <w:r w:rsidR="00D74D9F" w:rsidRPr="00D74D9F">
        <w:rPr>
          <w:rFonts w:hint="cs"/>
          <w:sz w:val="26"/>
          <w:szCs w:val="26"/>
          <w:rtl/>
        </w:rPr>
        <w:t xml:space="preserve"> </w:t>
      </w:r>
      <w:r w:rsidR="00A1483E" w:rsidRPr="00D74D9F">
        <w:rPr>
          <w:rFonts w:hint="cs"/>
          <w:b/>
          <w:bCs/>
          <w:sz w:val="26"/>
          <w:szCs w:val="26"/>
          <w:rtl/>
        </w:rPr>
        <w:t xml:space="preserve">דרודים </w:t>
      </w:r>
      <w:r w:rsidR="00A1483E" w:rsidRPr="005B5018">
        <w:rPr>
          <w:rFonts w:hint="cs"/>
          <w:sz w:val="26"/>
          <w:szCs w:val="26"/>
          <w:rtl/>
        </w:rPr>
        <w:t>ו</w:t>
      </w:r>
      <w:r w:rsidR="00D74D9F" w:rsidRPr="005B5018">
        <w:rPr>
          <w:rFonts w:hint="cs"/>
          <w:sz w:val="26"/>
          <w:szCs w:val="26"/>
          <w:rtl/>
        </w:rPr>
        <w:t>של</w:t>
      </w:r>
      <w:r w:rsidR="00D74D9F" w:rsidRPr="00D74D9F">
        <w:rPr>
          <w:rFonts w:hint="cs"/>
          <w:b/>
          <w:bCs/>
          <w:sz w:val="26"/>
          <w:szCs w:val="26"/>
          <w:rtl/>
        </w:rPr>
        <w:t xml:space="preserve"> </w:t>
      </w:r>
      <w:r w:rsidR="00A1483E" w:rsidRPr="00D74D9F">
        <w:rPr>
          <w:rFonts w:hint="cs"/>
          <w:b/>
          <w:bCs/>
          <w:sz w:val="26"/>
          <w:szCs w:val="26"/>
          <w:rtl/>
        </w:rPr>
        <w:t>אור</w:t>
      </w:r>
      <w:r>
        <w:rPr>
          <w:rFonts w:hint="cs"/>
          <w:b/>
          <w:bCs/>
          <w:sz w:val="26"/>
          <w:szCs w:val="26"/>
          <w:rtl/>
        </w:rPr>
        <w:t>ו</w:t>
      </w:r>
      <w:r w:rsidR="00A1483E" w:rsidRPr="00D74D9F">
        <w:rPr>
          <w:rFonts w:hint="cs"/>
          <w:b/>
          <w:bCs/>
          <w:sz w:val="26"/>
          <w:szCs w:val="26"/>
          <w:rtl/>
        </w:rPr>
        <w:t xml:space="preserve">ן </w:t>
      </w:r>
      <w:r w:rsidR="00D74D9F" w:rsidRPr="00D74D9F">
        <w:rPr>
          <w:rFonts w:hint="cs"/>
          <w:sz w:val="26"/>
          <w:szCs w:val="26"/>
          <w:rtl/>
        </w:rPr>
        <w:t>היו</w:t>
      </w:r>
      <w:r w:rsidR="00A1483E" w:rsidRPr="00D74D9F">
        <w:rPr>
          <w:rFonts w:hint="cs"/>
          <w:sz w:val="26"/>
          <w:szCs w:val="26"/>
          <w:rtl/>
        </w:rPr>
        <w:t xml:space="preserve"> </w:t>
      </w:r>
      <w:r w:rsidR="00D74D9F" w:rsidRPr="00D74D9F">
        <w:rPr>
          <w:rFonts w:hint="cs"/>
          <w:sz w:val="26"/>
          <w:szCs w:val="26"/>
          <w:rtl/>
        </w:rPr>
        <w:t>מובהקים יותר</w:t>
      </w:r>
      <w:r w:rsidR="00A1483E" w:rsidRPr="00D74D9F">
        <w:rPr>
          <w:rFonts w:hint="cs"/>
          <w:sz w:val="26"/>
          <w:szCs w:val="26"/>
          <w:rtl/>
        </w:rPr>
        <w:t xml:space="preserve"> מהמקרה הנוכחי: כאן הדיבידנדים </w:t>
      </w:r>
      <w:r w:rsidR="00A1483E" w:rsidRPr="00D74D9F">
        <w:rPr>
          <w:rFonts w:hint="cs"/>
          <w:b/>
          <w:bCs/>
          <w:sz w:val="26"/>
          <w:szCs w:val="26"/>
          <w:rtl/>
        </w:rPr>
        <w:t>כן</w:t>
      </w:r>
      <w:r w:rsidR="00A1483E" w:rsidRPr="00D74D9F">
        <w:rPr>
          <w:rFonts w:hint="cs"/>
          <w:sz w:val="26"/>
          <w:szCs w:val="26"/>
          <w:rtl/>
        </w:rPr>
        <w:t xml:space="preserve"> חולקו מתוך "הכנסות", ובכל זאת טוען המשיב כי אין להחיל את הוראות סעיף 126(ב), וזאת בשל תביעת</w:t>
      </w:r>
      <w:r w:rsidR="008C44FA" w:rsidRPr="00D74D9F">
        <w:rPr>
          <w:rFonts w:hint="cs"/>
          <w:sz w:val="26"/>
          <w:szCs w:val="26"/>
          <w:rtl/>
        </w:rPr>
        <w:t xml:space="preserve"> </w:t>
      </w:r>
      <w:r w:rsidR="00A1483E" w:rsidRPr="00D74D9F">
        <w:rPr>
          <w:rFonts w:hint="cs"/>
          <w:sz w:val="26"/>
          <w:szCs w:val="26"/>
          <w:rtl/>
        </w:rPr>
        <w:t xml:space="preserve">הוצאות פחת בחישוב ההכנסה החייבת של החברה המחלקת (אבנת) </w:t>
      </w:r>
      <w:r w:rsidR="00A1483E" w:rsidRPr="00D74D9F">
        <w:rPr>
          <w:sz w:val="26"/>
          <w:szCs w:val="26"/>
          <w:rtl/>
        </w:rPr>
        <w:t>–</w:t>
      </w:r>
      <w:r w:rsidR="00A1483E" w:rsidRPr="00D74D9F">
        <w:rPr>
          <w:rFonts w:hint="cs"/>
          <w:sz w:val="26"/>
          <w:szCs w:val="26"/>
          <w:rtl/>
        </w:rPr>
        <w:t xml:space="preserve"> הוצאות שאינן חלק מחישוב הרווח החשבונאי במקרה זה, כמוסבר לעיל. </w:t>
      </w:r>
    </w:p>
    <w:p w:rsidR="006249B6" w:rsidRDefault="006249B6" w:rsidP="00A1483E">
      <w:pPr>
        <w:pStyle w:val="ac"/>
        <w:spacing w:line="360" w:lineRule="auto"/>
        <w:ind w:left="397" w:right="-454"/>
        <w:jc w:val="both"/>
        <w:rPr>
          <w:sz w:val="26"/>
          <w:szCs w:val="26"/>
          <w:rtl/>
        </w:rPr>
      </w:pPr>
    </w:p>
    <w:p w:rsidR="00A1483E" w:rsidRDefault="00A1483E" w:rsidP="00BC1ED2">
      <w:pPr>
        <w:pStyle w:val="ac"/>
        <w:spacing w:line="360" w:lineRule="auto"/>
        <w:ind w:left="397" w:right="-454"/>
        <w:jc w:val="both"/>
        <w:rPr>
          <w:sz w:val="26"/>
          <w:szCs w:val="26"/>
          <w:rtl/>
        </w:rPr>
      </w:pPr>
      <w:r>
        <w:rPr>
          <w:rFonts w:hint="cs"/>
          <w:sz w:val="26"/>
          <w:szCs w:val="26"/>
          <w:rtl/>
        </w:rPr>
        <w:t xml:space="preserve">נפנה כעת </w:t>
      </w:r>
      <w:r w:rsidR="00BC1ED2">
        <w:rPr>
          <w:rFonts w:hint="cs"/>
          <w:sz w:val="26"/>
          <w:szCs w:val="26"/>
          <w:rtl/>
        </w:rPr>
        <w:t xml:space="preserve">להצגת </w:t>
      </w:r>
      <w:r>
        <w:rPr>
          <w:rFonts w:hint="cs"/>
          <w:sz w:val="26"/>
          <w:szCs w:val="26"/>
          <w:rtl/>
        </w:rPr>
        <w:t xml:space="preserve">עמדות הצדדים. </w:t>
      </w:r>
    </w:p>
    <w:p w:rsidR="00A1483E" w:rsidRDefault="00A1483E" w:rsidP="00A1483E">
      <w:pPr>
        <w:pStyle w:val="ac"/>
        <w:spacing w:line="360" w:lineRule="auto"/>
        <w:ind w:left="397" w:right="-454"/>
        <w:jc w:val="both"/>
        <w:rPr>
          <w:sz w:val="26"/>
          <w:szCs w:val="26"/>
          <w:rtl/>
        </w:rPr>
      </w:pPr>
    </w:p>
    <w:p w:rsidR="00A1483E" w:rsidRPr="00A1483E" w:rsidRDefault="00BC1ED2" w:rsidP="003E769F">
      <w:pPr>
        <w:pStyle w:val="ac"/>
        <w:numPr>
          <w:ilvl w:val="0"/>
          <w:numId w:val="1"/>
        </w:numPr>
        <w:spacing w:line="360" w:lineRule="auto"/>
        <w:ind w:left="417"/>
        <w:jc w:val="both"/>
        <w:rPr>
          <w:b/>
          <w:bCs/>
          <w:sz w:val="32"/>
          <w:szCs w:val="32"/>
          <w:u w:val="single"/>
        </w:rPr>
      </w:pPr>
      <w:r>
        <w:rPr>
          <w:rFonts w:hint="cs"/>
          <w:b/>
          <w:bCs/>
          <w:sz w:val="32"/>
          <w:szCs w:val="32"/>
          <w:u w:val="single"/>
          <w:rtl/>
        </w:rPr>
        <w:t xml:space="preserve">תמצית </w:t>
      </w:r>
      <w:r w:rsidR="00A1483E" w:rsidRPr="00A1483E">
        <w:rPr>
          <w:rFonts w:hint="cs"/>
          <w:b/>
          <w:bCs/>
          <w:sz w:val="32"/>
          <w:szCs w:val="32"/>
          <w:u w:val="single"/>
          <w:rtl/>
        </w:rPr>
        <w:t xml:space="preserve">עמדתו של המשיב </w:t>
      </w:r>
    </w:p>
    <w:p w:rsidR="005E5D17" w:rsidRDefault="00A1483E" w:rsidP="00765233">
      <w:pPr>
        <w:pStyle w:val="ac"/>
        <w:numPr>
          <w:ilvl w:val="0"/>
          <w:numId w:val="2"/>
        </w:numPr>
        <w:spacing w:line="360" w:lineRule="auto"/>
        <w:ind w:left="397" w:right="-454"/>
        <w:jc w:val="both"/>
        <w:rPr>
          <w:sz w:val="26"/>
          <w:szCs w:val="26"/>
        </w:rPr>
      </w:pPr>
      <w:r w:rsidRPr="00765233">
        <w:rPr>
          <w:rFonts w:hint="cs"/>
          <w:sz w:val="26"/>
          <w:szCs w:val="26"/>
          <w:rtl/>
        </w:rPr>
        <w:t xml:space="preserve">עמדת המשיב מושתתת </w:t>
      </w:r>
      <w:r w:rsidR="00D74D9F" w:rsidRPr="00765233">
        <w:rPr>
          <w:rFonts w:hint="cs"/>
          <w:sz w:val="26"/>
          <w:szCs w:val="26"/>
          <w:rtl/>
        </w:rPr>
        <w:t>על תפיסה זו: במקרה של אימוץ מודל</w:t>
      </w:r>
      <w:r w:rsidRPr="00765233">
        <w:rPr>
          <w:rFonts w:hint="cs"/>
          <w:sz w:val="26"/>
          <w:szCs w:val="26"/>
          <w:rtl/>
        </w:rPr>
        <w:t xml:space="preserve"> השווי ההוגן בהתאם לתקן החשובנ</w:t>
      </w:r>
      <w:r w:rsidR="003E769F" w:rsidRPr="00765233">
        <w:rPr>
          <w:rFonts w:hint="cs"/>
          <w:sz w:val="26"/>
          <w:szCs w:val="26"/>
          <w:rtl/>
        </w:rPr>
        <w:t>אי</w:t>
      </w:r>
      <w:r w:rsidRPr="00765233">
        <w:rPr>
          <w:rFonts w:hint="cs"/>
          <w:sz w:val="26"/>
          <w:szCs w:val="26"/>
          <w:rtl/>
        </w:rPr>
        <w:t xml:space="preserve">, חוק החברות מתיר חלוקת דיבידנד מתוך רווח חשבונאי שלא הוקטן </w:t>
      </w:r>
      <w:r w:rsidR="005B5018" w:rsidRPr="00765233">
        <w:rPr>
          <w:rFonts w:hint="cs"/>
          <w:sz w:val="26"/>
          <w:szCs w:val="26"/>
          <w:rtl/>
        </w:rPr>
        <w:t>על ידי רישום</w:t>
      </w:r>
      <w:r w:rsidRPr="00765233">
        <w:rPr>
          <w:rFonts w:hint="cs"/>
          <w:sz w:val="26"/>
          <w:szCs w:val="26"/>
          <w:rtl/>
        </w:rPr>
        <w:t xml:space="preserve"> הוצאות פחת. </w:t>
      </w:r>
      <w:r w:rsidR="0034193C" w:rsidRPr="00765233">
        <w:rPr>
          <w:rFonts w:hint="cs"/>
          <w:sz w:val="26"/>
          <w:szCs w:val="26"/>
          <w:rtl/>
        </w:rPr>
        <w:t>לעומת זאת</w:t>
      </w:r>
      <w:r w:rsidR="005B5018" w:rsidRPr="00765233">
        <w:rPr>
          <w:rFonts w:hint="cs"/>
          <w:sz w:val="26"/>
          <w:szCs w:val="26"/>
          <w:rtl/>
        </w:rPr>
        <w:t>,</w:t>
      </w:r>
      <w:r w:rsidR="0034193C" w:rsidRPr="00765233">
        <w:rPr>
          <w:rFonts w:hint="cs"/>
          <w:sz w:val="26"/>
          <w:szCs w:val="26"/>
          <w:rtl/>
        </w:rPr>
        <w:t xml:space="preserve"> ההכנסה החייבת </w:t>
      </w:r>
      <w:r w:rsidR="005B5018" w:rsidRPr="00765233">
        <w:rPr>
          <w:rFonts w:hint="cs"/>
          <w:sz w:val="26"/>
          <w:szCs w:val="26"/>
          <w:rtl/>
        </w:rPr>
        <w:t xml:space="preserve">של הפירמה </w:t>
      </w:r>
      <w:r w:rsidR="00765233" w:rsidRPr="00765233">
        <w:rPr>
          <w:rFonts w:hint="cs"/>
          <w:sz w:val="26"/>
          <w:szCs w:val="26"/>
          <w:rtl/>
        </w:rPr>
        <w:t xml:space="preserve">לצורכי מס כן </w:t>
      </w:r>
      <w:r w:rsidR="0034193C" w:rsidRPr="00765233">
        <w:rPr>
          <w:rFonts w:hint="cs"/>
          <w:sz w:val="26"/>
          <w:szCs w:val="26"/>
          <w:rtl/>
        </w:rPr>
        <w:t xml:space="preserve">קטנה בשל תביעת הוצאות פחת. קיים אפוא </w:t>
      </w:r>
      <w:r w:rsidR="0034193C" w:rsidRPr="00765233">
        <w:rPr>
          <w:rFonts w:hint="cs"/>
          <w:b/>
          <w:bCs/>
          <w:sz w:val="26"/>
          <w:szCs w:val="26"/>
          <w:rtl/>
        </w:rPr>
        <w:t>פער</w:t>
      </w:r>
      <w:r w:rsidR="0034193C" w:rsidRPr="00765233">
        <w:rPr>
          <w:rFonts w:hint="cs"/>
          <w:sz w:val="26"/>
          <w:szCs w:val="26"/>
          <w:rtl/>
        </w:rPr>
        <w:t xml:space="preserve"> בין היקף יכולתה של החברה (אבנת</w:t>
      </w:r>
      <w:r w:rsidR="00765233">
        <w:rPr>
          <w:rFonts w:hint="cs"/>
          <w:sz w:val="26"/>
          <w:szCs w:val="26"/>
          <w:rtl/>
        </w:rPr>
        <w:t xml:space="preserve"> במקרה זה</w:t>
      </w:r>
      <w:r w:rsidR="0034193C" w:rsidRPr="00765233">
        <w:rPr>
          <w:rFonts w:hint="cs"/>
          <w:sz w:val="26"/>
          <w:szCs w:val="26"/>
          <w:rtl/>
        </w:rPr>
        <w:t xml:space="preserve">) לחלק דיבידנד כדין ובין היקף חשיפתה לתשלום מס חברות. פער זה עשוי להיסגר רק אם בעתיד </w:t>
      </w:r>
      <w:r w:rsidR="00765233">
        <w:rPr>
          <w:rFonts w:hint="cs"/>
          <w:sz w:val="26"/>
          <w:szCs w:val="26"/>
          <w:rtl/>
        </w:rPr>
        <w:t xml:space="preserve">החברה המחלקת </w:t>
      </w:r>
      <w:r w:rsidR="0034193C" w:rsidRPr="00765233">
        <w:rPr>
          <w:rFonts w:hint="cs"/>
          <w:sz w:val="26"/>
          <w:szCs w:val="26"/>
          <w:rtl/>
        </w:rPr>
        <w:t>תמכור את הנדל"ן להשקעה אשר בגינה</w:t>
      </w:r>
      <w:r w:rsidR="00D74D9F" w:rsidRPr="00765233">
        <w:rPr>
          <w:rFonts w:hint="cs"/>
          <w:sz w:val="26"/>
          <w:szCs w:val="26"/>
          <w:rtl/>
        </w:rPr>
        <w:t xml:space="preserve"> נתבע הפחת</w:t>
      </w:r>
      <w:r w:rsidR="0034193C" w:rsidRPr="00765233">
        <w:rPr>
          <w:rFonts w:hint="cs"/>
          <w:sz w:val="26"/>
          <w:szCs w:val="26"/>
          <w:rtl/>
        </w:rPr>
        <w:t xml:space="preserve">, או אז ינוכו סכומי הפחת שנתבעו לפי הפקודה משווי הרכישה של הנכסים (השוו למשל הגדרת המונח </w:t>
      </w:r>
      <w:r w:rsidR="0034193C" w:rsidRPr="00765233">
        <w:rPr>
          <w:rFonts w:hint="cs"/>
          <w:b/>
          <w:bCs/>
          <w:sz w:val="26"/>
          <w:szCs w:val="26"/>
          <w:rtl/>
        </w:rPr>
        <w:t>"יתר</w:t>
      </w:r>
      <w:r w:rsidR="00D74D9F" w:rsidRPr="00765233">
        <w:rPr>
          <w:rFonts w:hint="cs"/>
          <w:b/>
          <w:bCs/>
          <w:sz w:val="26"/>
          <w:szCs w:val="26"/>
          <w:rtl/>
        </w:rPr>
        <w:t>ת</w:t>
      </w:r>
      <w:r w:rsidR="0034193C" w:rsidRPr="00765233">
        <w:rPr>
          <w:rFonts w:hint="cs"/>
          <w:b/>
          <w:bCs/>
          <w:sz w:val="26"/>
          <w:szCs w:val="26"/>
          <w:rtl/>
        </w:rPr>
        <w:t xml:space="preserve"> שווי רכישה"</w:t>
      </w:r>
      <w:r w:rsidR="0034193C" w:rsidRPr="00765233">
        <w:rPr>
          <w:rFonts w:hint="cs"/>
          <w:sz w:val="26"/>
          <w:szCs w:val="26"/>
          <w:rtl/>
        </w:rPr>
        <w:t xml:space="preserve"> שבסעיף 47 לחוק  מיסוי מקרקעין (שבח ורכישה), התשכ"ג-1963). לפי תפיסה זו, אין </w:t>
      </w:r>
      <w:r w:rsidR="00765233">
        <w:rPr>
          <w:rFonts w:hint="cs"/>
          <w:sz w:val="26"/>
          <w:szCs w:val="26"/>
          <w:rtl/>
        </w:rPr>
        <w:t>לאפשר</w:t>
      </w:r>
      <w:r w:rsidR="0034193C" w:rsidRPr="00765233">
        <w:rPr>
          <w:rFonts w:hint="cs"/>
          <w:sz w:val="26"/>
          <w:szCs w:val="26"/>
          <w:rtl/>
        </w:rPr>
        <w:t xml:space="preserve"> </w:t>
      </w:r>
      <w:r w:rsidR="00D74D9F" w:rsidRPr="00765233">
        <w:rPr>
          <w:rFonts w:hint="cs"/>
          <w:sz w:val="26"/>
          <w:szCs w:val="26"/>
          <w:rtl/>
        </w:rPr>
        <w:t xml:space="preserve">גם </w:t>
      </w:r>
      <w:r w:rsidR="0034193C" w:rsidRPr="00765233">
        <w:rPr>
          <w:rFonts w:hint="cs"/>
          <w:sz w:val="26"/>
          <w:szCs w:val="26"/>
          <w:rtl/>
        </w:rPr>
        <w:t xml:space="preserve">לחברה </w:t>
      </w:r>
      <w:r w:rsidR="0034193C" w:rsidRPr="00765233">
        <w:rPr>
          <w:rFonts w:hint="cs"/>
          <w:b/>
          <w:bCs/>
          <w:sz w:val="26"/>
          <w:szCs w:val="26"/>
          <w:rtl/>
        </w:rPr>
        <w:t>שמקבלת</w:t>
      </w:r>
      <w:r w:rsidR="0034193C" w:rsidRPr="00765233">
        <w:rPr>
          <w:rFonts w:hint="cs"/>
          <w:sz w:val="26"/>
          <w:szCs w:val="26"/>
          <w:rtl/>
        </w:rPr>
        <w:t xml:space="preserve"> את הדיבידנד (</w:t>
      </w:r>
      <w:r w:rsidR="00765233">
        <w:rPr>
          <w:rFonts w:hint="cs"/>
          <w:sz w:val="26"/>
          <w:szCs w:val="26"/>
          <w:rtl/>
        </w:rPr>
        <w:t xml:space="preserve">כגון </w:t>
      </w:r>
      <w:r w:rsidR="0034193C" w:rsidRPr="00765233">
        <w:rPr>
          <w:rFonts w:hint="cs"/>
          <w:sz w:val="26"/>
          <w:szCs w:val="26"/>
          <w:rtl/>
        </w:rPr>
        <w:t>המערערת) ל</w:t>
      </w:r>
      <w:r w:rsidR="00D74D9F" w:rsidRPr="00765233">
        <w:rPr>
          <w:rFonts w:hint="cs"/>
          <w:sz w:val="26"/>
          <w:szCs w:val="26"/>
          <w:rtl/>
        </w:rPr>
        <w:t>י</w:t>
      </w:r>
      <w:r w:rsidR="00F56D3F" w:rsidRPr="00765233">
        <w:rPr>
          <w:rFonts w:hint="cs"/>
          <w:sz w:val="26"/>
          <w:szCs w:val="26"/>
          <w:rtl/>
        </w:rPr>
        <w:t>ה</w:t>
      </w:r>
      <w:r w:rsidR="0034193C" w:rsidRPr="00765233">
        <w:rPr>
          <w:rFonts w:hint="cs"/>
          <w:sz w:val="26"/>
          <w:szCs w:val="26"/>
          <w:rtl/>
        </w:rPr>
        <w:t xml:space="preserve">נות מאי חיוב במס חברות </w:t>
      </w:r>
      <w:r w:rsidR="0034193C" w:rsidRPr="00765233">
        <w:rPr>
          <w:rFonts w:hint="cs"/>
          <w:b/>
          <w:bCs/>
          <w:sz w:val="26"/>
          <w:szCs w:val="26"/>
          <w:rtl/>
        </w:rPr>
        <w:t>על מרכיב הפחת</w:t>
      </w:r>
      <w:r w:rsidR="0034193C" w:rsidRPr="00765233">
        <w:rPr>
          <w:rFonts w:hint="cs"/>
          <w:sz w:val="26"/>
          <w:szCs w:val="26"/>
          <w:rtl/>
        </w:rPr>
        <w:t xml:space="preserve">, כאשר סגירת הפער כאמור בין החשבונאות ובין המס איננה ודאית והיא תלויה במעשיה של </w:t>
      </w:r>
      <w:r w:rsidR="00765233">
        <w:rPr>
          <w:rFonts w:hint="cs"/>
          <w:sz w:val="26"/>
          <w:szCs w:val="26"/>
          <w:rtl/>
        </w:rPr>
        <w:t>החברה המחלקת בעתיד:</w:t>
      </w:r>
    </w:p>
    <w:p w:rsidR="005E5D17" w:rsidRDefault="005E5D17" w:rsidP="005E5D17">
      <w:pPr>
        <w:pStyle w:val="ac"/>
        <w:spacing w:line="360" w:lineRule="auto"/>
        <w:ind w:left="397" w:right="-454"/>
        <w:jc w:val="both"/>
        <w:rPr>
          <w:sz w:val="26"/>
          <w:szCs w:val="26"/>
          <w:rtl/>
        </w:rPr>
      </w:pPr>
    </w:p>
    <w:p w:rsidR="0002705D" w:rsidRDefault="005E5D17" w:rsidP="005E5D17">
      <w:pPr>
        <w:pStyle w:val="ac"/>
        <w:spacing w:line="360" w:lineRule="auto"/>
        <w:ind w:left="1134" w:right="567"/>
        <w:jc w:val="both"/>
        <w:rPr>
          <w:b/>
          <w:bCs/>
          <w:sz w:val="26"/>
          <w:szCs w:val="26"/>
          <w:rtl/>
        </w:rPr>
      </w:pPr>
      <w:r>
        <w:rPr>
          <w:rFonts w:hint="cs"/>
          <w:b/>
          <w:bCs/>
          <w:sz w:val="26"/>
          <w:szCs w:val="26"/>
          <w:rtl/>
        </w:rPr>
        <w:lastRenderedPageBreak/>
        <w:t>"</w:t>
      </w:r>
      <w:r w:rsidR="0002705D">
        <w:rPr>
          <w:rFonts w:hint="cs"/>
          <w:b/>
          <w:bCs/>
          <w:sz w:val="26"/>
          <w:szCs w:val="26"/>
          <w:rtl/>
        </w:rPr>
        <w:t>אימוץ גישתה של המערע</w:t>
      </w:r>
      <w:r>
        <w:rPr>
          <w:rFonts w:hint="cs"/>
          <w:b/>
          <w:bCs/>
          <w:sz w:val="26"/>
          <w:szCs w:val="26"/>
          <w:rtl/>
        </w:rPr>
        <w:t>ר</w:t>
      </w:r>
      <w:r w:rsidR="0002705D">
        <w:rPr>
          <w:rFonts w:hint="cs"/>
          <w:b/>
          <w:bCs/>
          <w:sz w:val="26"/>
          <w:szCs w:val="26"/>
          <w:rtl/>
        </w:rPr>
        <w:t>ת</w:t>
      </w:r>
      <w:r>
        <w:rPr>
          <w:rFonts w:hint="cs"/>
          <w:b/>
          <w:bCs/>
          <w:sz w:val="26"/>
          <w:szCs w:val="26"/>
          <w:rtl/>
        </w:rPr>
        <w:t xml:space="preserve"> יוביל לתוצאה קשה של כפל הטבות במס: פעם אח</w:t>
      </w:r>
      <w:r w:rsidR="0002705D">
        <w:rPr>
          <w:rFonts w:hint="cs"/>
          <w:b/>
          <w:bCs/>
          <w:sz w:val="26"/>
          <w:szCs w:val="26"/>
          <w:rtl/>
        </w:rPr>
        <w:t>ת ברמת החברה המחלקת שתהנה מאפקט</w:t>
      </w:r>
      <w:r>
        <w:rPr>
          <w:rFonts w:hint="cs"/>
          <w:b/>
          <w:bCs/>
          <w:sz w:val="26"/>
          <w:szCs w:val="26"/>
          <w:rtl/>
        </w:rPr>
        <w:t xml:space="preserve"> דחיית המס, כאמור; ופעם נוספת, ברמת החברה המקבלת </w:t>
      </w:r>
      <w:r>
        <w:rPr>
          <w:b/>
          <w:bCs/>
          <w:sz w:val="26"/>
          <w:szCs w:val="26"/>
          <w:rtl/>
        </w:rPr>
        <w:t>–</w:t>
      </w:r>
      <w:r>
        <w:rPr>
          <w:rFonts w:hint="cs"/>
          <w:b/>
          <w:bCs/>
          <w:sz w:val="26"/>
          <w:szCs w:val="26"/>
          <w:rtl/>
        </w:rPr>
        <w:t xml:space="preserve"> המערערת </w:t>
      </w:r>
      <w:r>
        <w:rPr>
          <w:b/>
          <w:bCs/>
          <w:sz w:val="26"/>
          <w:szCs w:val="26"/>
          <w:rtl/>
        </w:rPr>
        <w:t>–</w:t>
      </w:r>
      <w:r>
        <w:rPr>
          <w:rFonts w:hint="cs"/>
          <w:b/>
          <w:bCs/>
          <w:sz w:val="26"/>
          <w:szCs w:val="26"/>
          <w:rtl/>
        </w:rPr>
        <w:t xml:space="preserve"> לגישתה </w:t>
      </w:r>
      <w:r w:rsidR="0002705D">
        <w:rPr>
          <w:rFonts w:hint="cs"/>
          <w:b/>
          <w:bCs/>
          <w:sz w:val="26"/>
          <w:szCs w:val="26"/>
          <w:rtl/>
        </w:rPr>
        <w:t xml:space="preserve">הדיבידנד שחולק לה חוסה תחת הפטור הקבוע בסעיף 126(ב) לפקודה. כפי שקבע בית המשפט העליון בהלכת דרורים, תוצאה זו אין להלום. </w:t>
      </w:r>
    </w:p>
    <w:p w:rsidR="0002705D" w:rsidRDefault="0002705D" w:rsidP="005E5D17">
      <w:pPr>
        <w:pStyle w:val="ac"/>
        <w:spacing w:line="360" w:lineRule="auto"/>
        <w:ind w:left="1134" w:right="567"/>
        <w:jc w:val="both"/>
        <w:rPr>
          <w:b/>
          <w:bCs/>
          <w:sz w:val="26"/>
          <w:szCs w:val="26"/>
          <w:rtl/>
        </w:rPr>
      </w:pPr>
      <w:r>
        <w:rPr>
          <w:rFonts w:hint="cs"/>
          <w:b/>
          <w:bCs/>
          <w:sz w:val="26"/>
          <w:szCs w:val="26"/>
          <w:rtl/>
        </w:rPr>
        <w:t>...</w:t>
      </w:r>
    </w:p>
    <w:p w:rsidR="0034193C" w:rsidRDefault="0002705D" w:rsidP="00BC1ED2">
      <w:pPr>
        <w:pStyle w:val="ac"/>
        <w:spacing w:line="360" w:lineRule="auto"/>
        <w:ind w:left="1134" w:right="567"/>
        <w:jc w:val="both"/>
        <w:rPr>
          <w:sz w:val="26"/>
          <w:szCs w:val="26"/>
          <w:rtl/>
        </w:rPr>
      </w:pPr>
      <w:r>
        <w:rPr>
          <w:rFonts w:hint="cs"/>
          <w:b/>
          <w:bCs/>
          <w:sz w:val="26"/>
          <w:szCs w:val="26"/>
          <w:rtl/>
        </w:rPr>
        <w:t xml:space="preserve">התכלית </w:t>
      </w:r>
      <w:r w:rsidR="00BC1ED2" w:rsidRPr="00BC1ED2">
        <w:rPr>
          <w:rFonts w:hint="cs"/>
          <w:sz w:val="26"/>
          <w:szCs w:val="26"/>
          <w:rtl/>
        </w:rPr>
        <w:t xml:space="preserve">[של סעיף 126(ב) </w:t>
      </w:r>
      <w:r w:rsidR="00BC1ED2" w:rsidRPr="00BC1ED2">
        <w:rPr>
          <w:sz w:val="26"/>
          <w:szCs w:val="26"/>
          <w:rtl/>
        </w:rPr>
        <w:t>–</w:t>
      </w:r>
      <w:r w:rsidR="00BC1ED2" w:rsidRPr="00BC1ED2">
        <w:rPr>
          <w:rFonts w:hint="cs"/>
          <w:sz w:val="26"/>
          <w:szCs w:val="26"/>
          <w:rtl/>
        </w:rPr>
        <w:t xml:space="preserve"> ה"ק]</w:t>
      </w:r>
      <w:r w:rsidR="00BC1ED2">
        <w:rPr>
          <w:rFonts w:hint="cs"/>
          <w:b/>
          <w:bCs/>
          <w:sz w:val="26"/>
          <w:szCs w:val="26"/>
          <w:rtl/>
        </w:rPr>
        <w:t xml:space="preserve"> </w:t>
      </w:r>
      <w:r>
        <w:rPr>
          <w:rFonts w:hint="cs"/>
          <w:b/>
          <w:bCs/>
          <w:sz w:val="26"/>
          <w:szCs w:val="26"/>
          <w:rtl/>
        </w:rPr>
        <w:t>נועדה למנוע מצב של כפל מס ומשכך לשלול מצב בו יהפוך המס הדו-שלבי למס רב-שלבי, ובהתאם דיבידנדים המשורשרים מחברה לחברה לא יחוייבו במס שעה שהרווחים שחולקו חוייבו במס ח</w:t>
      </w:r>
      <w:r w:rsidRPr="00BC1ED2">
        <w:rPr>
          <w:rFonts w:hint="cs"/>
          <w:b/>
          <w:bCs/>
          <w:sz w:val="26"/>
          <w:szCs w:val="26"/>
          <w:rtl/>
        </w:rPr>
        <w:t>ברות בידי החברה המחלקת. התכלית אינה מתקיימת מקום שהדיבידנד חולק מתוך רווחים חשבונאיים, אשר לא התחייבו במס חברות בחברה המחלקת</w:t>
      </w:r>
      <w:r>
        <w:rPr>
          <w:rFonts w:hint="cs"/>
          <w:b/>
          <w:bCs/>
          <w:sz w:val="26"/>
          <w:szCs w:val="26"/>
          <w:rtl/>
        </w:rPr>
        <w:t>, ואם לא ימוסו ברמת החברה המקבלת, ישולם עליהם מס רק כאשר יגיעו לידי בעלי המניות הסופיים. במצב דברים זה ימנע מיסוי דו-שלבי ולמעשה ישולם מס רק ברמת מיסוי אחת (קרי:</w:t>
      </w:r>
      <w:r w:rsidR="00BC1ED2">
        <w:rPr>
          <w:rFonts w:hint="cs"/>
          <w:b/>
          <w:bCs/>
          <w:sz w:val="26"/>
          <w:szCs w:val="26"/>
          <w:rtl/>
        </w:rPr>
        <w:t xml:space="preserve"> </w:t>
      </w:r>
      <w:r>
        <w:rPr>
          <w:rFonts w:hint="cs"/>
          <w:b/>
          <w:bCs/>
          <w:sz w:val="26"/>
          <w:szCs w:val="26"/>
          <w:rtl/>
        </w:rPr>
        <w:t>מס בשיעור כולל של 25% או 30% ולא מס כולל של כ- 48%). כך נוצר חוסר התאמה בין המיסוי ברמת החברה ובין המיסוי ברמת בעלי המניות החותר תחת יסודות המיסוי הדו-שלבי."</w:t>
      </w:r>
      <w:r w:rsidR="0034193C" w:rsidRPr="00765233">
        <w:rPr>
          <w:rFonts w:hint="cs"/>
          <w:sz w:val="26"/>
          <w:szCs w:val="26"/>
          <w:rtl/>
        </w:rPr>
        <w:t xml:space="preserve"> </w:t>
      </w:r>
    </w:p>
    <w:p w:rsidR="00D2361C" w:rsidRPr="00D2361C" w:rsidRDefault="00BC1ED2" w:rsidP="005E5D17">
      <w:pPr>
        <w:pStyle w:val="ac"/>
        <w:spacing w:line="360" w:lineRule="auto"/>
        <w:ind w:left="1134" w:right="567"/>
        <w:jc w:val="both"/>
        <w:rPr>
          <w:sz w:val="26"/>
          <w:szCs w:val="26"/>
          <w:rtl/>
        </w:rPr>
      </w:pPr>
      <w:r>
        <w:rPr>
          <w:rFonts w:hint="cs"/>
          <w:sz w:val="26"/>
          <w:szCs w:val="26"/>
          <w:rtl/>
        </w:rPr>
        <w:t>(מתוך סעיפים 67 ו- 77 לסי</w:t>
      </w:r>
      <w:r w:rsidR="00D2361C" w:rsidRPr="00D2361C">
        <w:rPr>
          <w:rFonts w:hint="cs"/>
          <w:sz w:val="26"/>
          <w:szCs w:val="26"/>
          <w:rtl/>
        </w:rPr>
        <w:t>כ</w:t>
      </w:r>
      <w:r>
        <w:rPr>
          <w:rFonts w:hint="cs"/>
          <w:sz w:val="26"/>
          <w:szCs w:val="26"/>
          <w:rtl/>
        </w:rPr>
        <w:t>ו</w:t>
      </w:r>
      <w:r w:rsidR="00D2361C" w:rsidRPr="00D2361C">
        <w:rPr>
          <w:rFonts w:hint="cs"/>
          <w:sz w:val="26"/>
          <w:szCs w:val="26"/>
          <w:rtl/>
        </w:rPr>
        <w:t>מי המשיב)</w:t>
      </w:r>
    </w:p>
    <w:p w:rsidR="0034193C" w:rsidRDefault="0034193C" w:rsidP="00A1483E">
      <w:pPr>
        <w:pStyle w:val="ac"/>
        <w:spacing w:line="360" w:lineRule="auto"/>
        <w:ind w:left="397" w:right="-454"/>
        <w:jc w:val="both"/>
        <w:rPr>
          <w:sz w:val="26"/>
          <w:szCs w:val="26"/>
          <w:rtl/>
        </w:rPr>
      </w:pPr>
    </w:p>
    <w:p w:rsidR="0034193C" w:rsidRDefault="0034193C" w:rsidP="00D2361C">
      <w:pPr>
        <w:pStyle w:val="ac"/>
        <w:spacing w:line="360" w:lineRule="auto"/>
        <w:ind w:left="397" w:right="-454"/>
        <w:jc w:val="both"/>
        <w:rPr>
          <w:sz w:val="26"/>
          <w:szCs w:val="26"/>
          <w:rtl/>
        </w:rPr>
      </w:pPr>
      <w:r>
        <w:rPr>
          <w:rFonts w:hint="cs"/>
          <w:sz w:val="26"/>
          <w:szCs w:val="26"/>
          <w:rtl/>
        </w:rPr>
        <w:t xml:space="preserve">בעניין זה </w:t>
      </w:r>
      <w:r w:rsidR="00D2361C">
        <w:rPr>
          <w:rFonts w:hint="cs"/>
          <w:sz w:val="26"/>
          <w:szCs w:val="26"/>
          <w:rtl/>
        </w:rPr>
        <w:t>ממשיך</w:t>
      </w:r>
      <w:r>
        <w:rPr>
          <w:rFonts w:hint="cs"/>
          <w:sz w:val="26"/>
          <w:szCs w:val="26"/>
          <w:rtl/>
        </w:rPr>
        <w:t xml:space="preserve"> המשיב</w:t>
      </w:r>
      <w:r w:rsidR="00D2361C">
        <w:rPr>
          <w:rFonts w:hint="cs"/>
          <w:sz w:val="26"/>
          <w:szCs w:val="26"/>
          <w:rtl/>
        </w:rPr>
        <w:t xml:space="preserve"> ומסתייע</w:t>
      </w:r>
      <w:r>
        <w:rPr>
          <w:rFonts w:hint="cs"/>
          <w:sz w:val="26"/>
          <w:szCs w:val="26"/>
          <w:rtl/>
        </w:rPr>
        <w:t xml:space="preserve"> בדברים שכתבתי בעניין </w:t>
      </w:r>
      <w:r>
        <w:rPr>
          <w:rFonts w:hint="cs"/>
          <w:b/>
          <w:bCs/>
          <w:sz w:val="26"/>
          <w:szCs w:val="26"/>
          <w:rtl/>
        </w:rPr>
        <w:t>אורון</w:t>
      </w:r>
      <w:r w:rsidR="00BC1ED2">
        <w:rPr>
          <w:rFonts w:hint="cs"/>
          <w:sz w:val="26"/>
          <w:szCs w:val="26"/>
          <w:rtl/>
        </w:rPr>
        <w:t xml:space="preserve"> לגבי "חוסר מותנה" - נושא שנשוב אליו בהמשך</w:t>
      </w:r>
      <w:r>
        <w:rPr>
          <w:rFonts w:hint="cs"/>
          <w:sz w:val="26"/>
          <w:szCs w:val="26"/>
          <w:rtl/>
        </w:rPr>
        <w:t xml:space="preserve">. </w:t>
      </w:r>
    </w:p>
    <w:p w:rsidR="0034193C" w:rsidRPr="0034193C" w:rsidRDefault="0034193C" w:rsidP="00A1483E">
      <w:pPr>
        <w:pStyle w:val="ac"/>
        <w:spacing w:line="360" w:lineRule="auto"/>
        <w:ind w:left="397" w:right="-454"/>
        <w:jc w:val="both"/>
        <w:rPr>
          <w:sz w:val="26"/>
          <w:szCs w:val="26"/>
        </w:rPr>
      </w:pPr>
    </w:p>
    <w:p w:rsidR="0034193C" w:rsidRDefault="00BC1ED2" w:rsidP="003F2677">
      <w:pPr>
        <w:pStyle w:val="ac"/>
        <w:numPr>
          <w:ilvl w:val="0"/>
          <w:numId w:val="2"/>
        </w:numPr>
        <w:spacing w:line="360" w:lineRule="auto"/>
        <w:ind w:left="397" w:right="-454"/>
        <w:jc w:val="both"/>
        <w:rPr>
          <w:sz w:val="26"/>
          <w:szCs w:val="26"/>
        </w:rPr>
      </w:pPr>
      <w:r>
        <w:rPr>
          <w:rFonts w:hint="cs"/>
          <w:sz w:val="26"/>
          <w:szCs w:val="26"/>
          <w:rtl/>
        </w:rPr>
        <w:t xml:space="preserve">כאן </w:t>
      </w:r>
      <w:r w:rsidR="0034193C" w:rsidRPr="00F56D3F">
        <w:rPr>
          <w:rFonts w:hint="cs"/>
          <w:sz w:val="26"/>
          <w:szCs w:val="26"/>
          <w:rtl/>
        </w:rPr>
        <w:t xml:space="preserve">חשוב להדגיש: </w:t>
      </w:r>
      <w:r w:rsidR="0034193C" w:rsidRPr="00F56D3F">
        <w:rPr>
          <w:rFonts w:hint="cs"/>
          <w:b/>
          <w:bCs/>
          <w:sz w:val="26"/>
          <w:szCs w:val="26"/>
          <w:rtl/>
        </w:rPr>
        <w:t xml:space="preserve">המשיב איננו טוען </w:t>
      </w:r>
      <w:r w:rsidR="00F56D3F" w:rsidRPr="00E425A6">
        <w:rPr>
          <w:rFonts w:hint="cs"/>
          <w:sz w:val="26"/>
          <w:szCs w:val="26"/>
          <w:rtl/>
        </w:rPr>
        <w:t>כי</w:t>
      </w:r>
      <w:r w:rsidR="00F56D3F" w:rsidRPr="00F56D3F">
        <w:rPr>
          <w:rFonts w:hint="cs"/>
          <w:sz w:val="26"/>
          <w:szCs w:val="26"/>
          <w:rtl/>
        </w:rPr>
        <w:t xml:space="preserve"> ס</w:t>
      </w:r>
      <w:r w:rsidR="0034193C" w:rsidRPr="00F56D3F">
        <w:rPr>
          <w:rFonts w:hint="cs"/>
          <w:sz w:val="26"/>
          <w:szCs w:val="26"/>
          <w:rtl/>
        </w:rPr>
        <w:t>ע</w:t>
      </w:r>
      <w:r w:rsidR="00F56D3F" w:rsidRPr="00F56D3F">
        <w:rPr>
          <w:rFonts w:hint="cs"/>
          <w:sz w:val="26"/>
          <w:szCs w:val="26"/>
          <w:rtl/>
        </w:rPr>
        <w:t>י</w:t>
      </w:r>
      <w:r w:rsidR="0034193C" w:rsidRPr="00F56D3F">
        <w:rPr>
          <w:rFonts w:hint="cs"/>
          <w:sz w:val="26"/>
          <w:szCs w:val="26"/>
          <w:rtl/>
        </w:rPr>
        <w:t xml:space="preserve">ף 126(ב) יחול רק על סכום </w:t>
      </w:r>
      <w:r w:rsidR="00D2361C">
        <w:rPr>
          <w:rFonts w:hint="cs"/>
          <w:sz w:val="26"/>
          <w:szCs w:val="26"/>
          <w:rtl/>
        </w:rPr>
        <w:t xml:space="preserve">דיבידנד </w:t>
      </w:r>
      <w:r w:rsidR="0034193C" w:rsidRPr="00F56D3F">
        <w:rPr>
          <w:rFonts w:hint="cs"/>
          <w:sz w:val="26"/>
          <w:szCs w:val="26"/>
          <w:rtl/>
        </w:rPr>
        <w:t xml:space="preserve">שמקורו </w:t>
      </w:r>
      <w:r w:rsidR="0034193C" w:rsidRPr="00F56D3F">
        <w:rPr>
          <w:rFonts w:hint="cs"/>
          <w:b/>
          <w:bCs/>
          <w:sz w:val="26"/>
          <w:szCs w:val="26"/>
          <w:rtl/>
        </w:rPr>
        <w:t xml:space="preserve">בהכנסה </w:t>
      </w:r>
      <w:r w:rsidR="00F56D3F" w:rsidRPr="00F56D3F">
        <w:rPr>
          <w:rFonts w:hint="cs"/>
          <w:b/>
          <w:bCs/>
          <w:sz w:val="26"/>
          <w:szCs w:val="26"/>
          <w:rtl/>
        </w:rPr>
        <w:t xml:space="preserve">חייבת </w:t>
      </w:r>
      <w:r w:rsidR="00F56D3F" w:rsidRPr="00F56D3F">
        <w:rPr>
          <w:rFonts w:hint="cs"/>
          <w:sz w:val="26"/>
          <w:szCs w:val="26"/>
          <w:rtl/>
        </w:rPr>
        <w:t>של החברה המחלקת, כמשמעות מונח זה בפקודת מס הכנסה.</w:t>
      </w:r>
      <w:r w:rsidR="0034193C" w:rsidRPr="00F56D3F">
        <w:rPr>
          <w:rFonts w:hint="cs"/>
          <w:sz w:val="26"/>
          <w:szCs w:val="26"/>
          <w:rtl/>
        </w:rPr>
        <w:t xml:space="preserve"> </w:t>
      </w:r>
    </w:p>
    <w:p w:rsidR="00F56D3F" w:rsidRDefault="00F56D3F" w:rsidP="00F56D3F">
      <w:pPr>
        <w:pStyle w:val="ac"/>
        <w:spacing w:line="360" w:lineRule="auto"/>
        <w:ind w:left="397" w:right="-454"/>
        <w:jc w:val="both"/>
        <w:rPr>
          <w:sz w:val="26"/>
          <w:szCs w:val="26"/>
          <w:rtl/>
        </w:rPr>
      </w:pPr>
    </w:p>
    <w:p w:rsidR="00F56D3F" w:rsidRDefault="00F56D3F" w:rsidP="00F56D3F">
      <w:pPr>
        <w:pStyle w:val="ac"/>
        <w:spacing w:line="360" w:lineRule="auto"/>
        <w:ind w:left="397" w:right="-454"/>
        <w:jc w:val="both"/>
        <w:rPr>
          <w:sz w:val="26"/>
          <w:szCs w:val="26"/>
          <w:rtl/>
        </w:rPr>
      </w:pPr>
      <w:r>
        <w:rPr>
          <w:rFonts w:hint="cs"/>
          <w:sz w:val="26"/>
          <w:szCs w:val="26"/>
          <w:rtl/>
        </w:rPr>
        <w:t xml:space="preserve">הגדרתה של "הכנסה חייבת" לפי סעיף 1 לפקודה היא </w:t>
      </w:r>
      <w:r>
        <w:rPr>
          <w:rFonts w:hint="cs"/>
          <w:b/>
          <w:bCs/>
          <w:sz w:val="26"/>
          <w:szCs w:val="26"/>
          <w:rtl/>
        </w:rPr>
        <w:t>"הכנסה לאחר הניכויים, הקיזוזים והפטורים שהותרו ממנה לפי כל דין"</w:t>
      </w:r>
      <w:r>
        <w:rPr>
          <w:rFonts w:hint="cs"/>
          <w:sz w:val="26"/>
          <w:szCs w:val="26"/>
          <w:rtl/>
        </w:rPr>
        <w:t xml:space="preserve">. </w:t>
      </w:r>
    </w:p>
    <w:p w:rsidR="00F56D3F" w:rsidRPr="00F56D3F" w:rsidRDefault="00F56D3F" w:rsidP="00F56D3F">
      <w:pPr>
        <w:pStyle w:val="ac"/>
        <w:spacing w:line="360" w:lineRule="auto"/>
        <w:ind w:left="397" w:right="-454"/>
        <w:jc w:val="both"/>
        <w:rPr>
          <w:sz w:val="26"/>
          <w:szCs w:val="26"/>
          <w:rtl/>
        </w:rPr>
      </w:pPr>
    </w:p>
    <w:p w:rsidR="006B7D11" w:rsidRPr="00F56D3F" w:rsidRDefault="00F56D3F" w:rsidP="00F56D3F">
      <w:pPr>
        <w:pStyle w:val="ac"/>
        <w:spacing w:line="360" w:lineRule="auto"/>
        <w:ind w:left="397" w:right="-454"/>
        <w:jc w:val="both"/>
        <w:rPr>
          <w:sz w:val="26"/>
          <w:szCs w:val="26"/>
          <w:rtl/>
        </w:rPr>
      </w:pPr>
      <w:r>
        <w:rPr>
          <w:rFonts w:hint="cs"/>
          <w:sz w:val="26"/>
          <w:szCs w:val="26"/>
          <w:rtl/>
        </w:rPr>
        <w:t>והנה</w:t>
      </w:r>
      <w:r w:rsidR="0034193C">
        <w:rPr>
          <w:rFonts w:hint="cs"/>
          <w:sz w:val="26"/>
          <w:szCs w:val="26"/>
          <w:rtl/>
        </w:rPr>
        <w:t>, על פי גישת המשיב</w:t>
      </w:r>
      <w:r>
        <w:rPr>
          <w:rFonts w:hint="cs"/>
          <w:sz w:val="26"/>
          <w:szCs w:val="26"/>
          <w:rtl/>
        </w:rPr>
        <w:t>,</w:t>
      </w:r>
      <w:r w:rsidR="0034193C">
        <w:rPr>
          <w:rFonts w:hint="cs"/>
          <w:sz w:val="26"/>
          <w:szCs w:val="26"/>
          <w:rtl/>
        </w:rPr>
        <w:t xml:space="preserve"> ייתכנו מקרי</w:t>
      </w:r>
      <w:r w:rsidR="006B7D11">
        <w:rPr>
          <w:rFonts w:hint="cs"/>
          <w:sz w:val="26"/>
          <w:szCs w:val="26"/>
          <w:rtl/>
        </w:rPr>
        <w:t xml:space="preserve">ם בהם סכום מסויים הוא בבחינת "הכנסה" בידי החברה המחלקת אולם </w:t>
      </w:r>
      <w:r w:rsidR="006B7D11">
        <w:rPr>
          <w:rFonts w:hint="cs"/>
          <w:b/>
          <w:bCs/>
          <w:sz w:val="26"/>
          <w:szCs w:val="26"/>
          <w:rtl/>
        </w:rPr>
        <w:t>איננו</w:t>
      </w:r>
      <w:r w:rsidR="006B7D11">
        <w:rPr>
          <w:rFonts w:hint="cs"/>
          <w:sz w:val="26"/>
          <w:szCs w:val="26"/>
          <w:rtl/>
        </w:rPr>
        <w:t xml:space="preserve"> בבחינת </w:t>
      </w:r>
      <w:r w:rsidR="006B7D11" w:rsidRPr="00F56D3F">
        <w:rPr>
          <w:rFonts w:hint="cs"/>
          <w:b/>
          <w:bCs/>
          <w:sz w:val="26"/>
          <w:szCs w:val="26"/>
          <w:rtl/>
        </w:rPr>
        <w:t>הכנסה</w:t>
      </w:r>
      <w:r w:rsidR="006B7D11">
        <w:rPr>
          <w:rFonts w:hint="cs"/>
          <w:sz w:val="26"/>
          <w:szCs w:val="26"/>
          <w:rtl/>
        </w:rPr>
        <w:t xml:space="preserve"> </w:t>
      </w:r>
      <w:r w:rsidR="006B7D11">
        <w:rPr>
          <w:rFonts w:hint="cs"/>
          <w:b/>
          <w:bCs/>
          <w:sz w:val="26"/>
          <w:szCs w:val="26"/>
          <w:rtl/>
        </w:rPr>
        <w:t>חייבת</w:t>
      </w:r>
      <w:r w:rsidR="006B7D11">
        <w:rPr>
          <w:rFonts w:hint="cs"/>
          <w:sz w:val="26"/>
          <w:szCs w:val="26"/>
          <w:rtl/>
        </w:rPr>
        <w:t xml:space="preserve"> (בשל התרת ניכוי, קיזוז או פטור), </w:t>
      </w:r>
      <w:r w:rsidR="006B7D11">
        <w:rPr>
          <w:rFonts w:hint="cs"/>
          <w:b/>
          <w:bCs/>
          <w:sz w:val="26"/>
          <w:szCs w:val="26"/>
          <w:rtl/>
        </w:rPr>
        <w:t>ובכל זאת</w:t>
      </w:r>
      <w:r w:rsidR="006B7D11">
        <w:rPr>
          <w:rFonts w:hint="cs"/>
          <w:sz w:val="26"/>
          <w:szCs w:val="26"/>
          <w:rtl/>
        </w:rPr>
        <w:t xml:space="preserve"> דיבידנד שחולק מ</w:t>
      </w:r>
      <w:r w:rsidR="00156121">
        <w:rPr>
          <w:rFonts w:hint="cs"/>
          <w:sz w:val="26"/>
          <w:szCs w:val="26"/>
          <w:rtl/>
        </w:rPr>
        <w:t xml:space="preserve">תוך סכום זה </w:t>
      </w:r>
      <w:r w:rsidR="00156121" w:rsidRPr="00F56D3F">
        <w:rPr>
          <w:rFonts w:hint="cs"/>
          <w:b/>
          <w:bCs/>
          <w:sz w:val="26"/>
          <w:szCs w:val="26"/>
          <w:rtl/>
        </w:rPr>
        <w:t>לא</w:t>
      </w:r>
      <w:r w:rsidR="00156121">
        <w:rPr>
          <w:rFonts w:hint="cs"/>
          <w:sz w:val="26"/>
          <w:szCs w:val="26"/>
          <w:rtl/>
        </w:rPr>
        <w:t xml:space="preserve"> ייכלל בהכנסה </w:t>
      </w:r>
      <w:r>
        <w:rPr>
          <w:rFonts w:hint="cs"/>
          <w:sz w:val="26"/>
          <w:szCs w:val="26"/>
          <w:rtl/>
        </w:rPr>
        <w:t xml:space="preserve">החייבת </w:t>
      </w:r>
      <w:r w:rsidR="00156121">
        <w:rPr>
          <w:rFonts w:hint="cs"/>
          <w:sz w:val="26"/>
          <w:szCs w:val="26"/>
          <w:rtl/>
        </w:rPr>
        <w:t xml:space="preserve">של </w:t>
      </w:r>
      <w:r>
        <w:rPr>
          <w:rFonts w:hint="cs"/>
          <w:sz w:val="26"/>
          <w:szCs w:val="26"/>
          <w:rtl/>
        </w:rPr>
        <w:t>ה</w:t>
      </w:r>
      <w:r w:rsidR="00156121">
        <w:rPr>
          <w:rFonts w:hint="cs"/>
          <w:sz w:val="26"/>
          <w:szCs w:val="26"/>
          <w:rtl/>
        </w:rPr>
        <w:t xml:space="preserve">חברה </w:t>
      </w:r>
      <w:r>
        <w:rPr>
          <w:rFonts w:hint="cs"/>
          <w:sz w:val="26"/>
          <w:szCs w:val="26"/>
          <w:rtl/>
        </w:rPr>
        <w:t>ה</w:t>
      </w:r>
      <w:r w:rsidR="00156121">
        <w:rPr>
          <w:rFonts w:hint="cs"/>
          <w:sz w:val="26"/>
          <w:szCs w:val="26"/>
          <w:rtl/>
        </w:rPr>
        <w:t>מק</w:t>
      </w:r>
      <w:r w:rsidR="006B7D11">
        <w:rPr>
          <w:rFonts w:hint="cs"/>
          <w:sz w:val="26"/>
          <w:szCs w:val="26"/>
          <w:rtl/>
        </w:rPr>
        <w:t>ב</w:t>
      </w:r>
      <w:r w:rsidR="00156121">
        <w:rPr>
          <w:rFonts w:hint="cs"/>
          <w:sz w:val="26"/>
          <w:szCs w:val="26"/>
          <w:rtl/>
        </w:rPr>
        <w:t>ל</w:t>
      </w:r>
      <w:r w:rsidR="006B7D11">
        <w:rPr>
          <w:rFonts w:hint="cs"/>
          <w:sz w:val="26"/>
          <w:szCs w:val="26"/>
          <w:rtl/>
        </w:rPr>
        <w:t xml:space="preserve">ת, וזאת מכוח הוראות סעיף 126(ב) לפקודה. </w:t>
      </w:r>
      <w:r>
        <w:rPr>
          <w:rFonts w:hint="cs"/>
          <w:sz w:val="26"/>
          <w:szCs w:val="26"/>
          <w:rtl/>
        </w:rPr>
        <w:t xml:space="preserve">ואכן הובהר בסיכומיו כי </w:t>
      </w:r>
      <w:r>
        <w:rPr>
          <w:rFonts w:hint="cs"/>
          <w:b/>
          <w:bCs/>
          <w:sz w:val="26"/>
          <w:szCs w:val="26"/>
          <w:rtl/>
        </w:rPr>
        <w:t xml:space="preserve">"עמדת המשיב אינה כי יש </w:t>
      </w:r>
      <w:r>
        <w:rPr>
          <w:rFonts w:hint="cs"/>
          <w:b/>
          <w:bCs/>
          <w:sz w:val="26"/>
          <w:szCs w:val="26"/>
          <w:rtl/>
        </w:rPr>
        <w:lastRenderedPageBreak/>
        <w:t xml:space="preserve">לפרש את לשון סעיף 126(ב) לפקודה, כך שתנאי הרווח מקורו ב'הכנסה חייבת'" </w:t>
      </w:r>
      <w:r w:rsidRPr="00F56D3F">
        <w:rPr>
          <w:rFonts w:hint="cs"/>
          <w:sz w:val="26"/>
          <w:szCs w:val="26"/>
          <w:rtl/>
        </w:rPr>
        <w:t xml:space="preserve">(סעיף 100, שם). </w:t>
      </w:r>
    </w:p>
    <w:p w:rsidR="00156121" w:rsidRDefault="00156121" w:rsidP="006B7D11">
      <w:pPr>
        <w:pStyle w:val="ac"/>
        <w:spacing w:line="360" w:lineRule="auto"/>
        <w:ind w:left="397" w:right="-454"/>
        <w:jc w:val="both"/>
        <w:rPr>
          <w:sz w:val="26"/>
          <w:szCs w:val="26"/>
          <w:rtl/>
        </w:rPr>
      </w:pPr>
    </w:p>
    <w:p w:rsidR="00BC1ED2" w:rsidRDefault="00BC1ED2" w:rsidP="006B7D11">
      <w:pPr>
        <w:pStyle w:val="ac"/>
        <w:spacing w:line="360" w:lineRule="auto"/>
        <w:ind w:left="397" w:right="-454"/>
        <w:jc w:val="both"/>
        <w:rPr>
          <w:sz w:val="26"/>
          <w:szCs w:val="26"/>
          <w:rtl/>
        </w:rPr>
      </w:pPr>
      <w:r>
        <w:rPr>
          <w:rFonts w:hint="cs"/>
          <w:sz w:val="26"/>
          <w:szCs w:val="26"/>
          <w:rtl/>
        </w:rPr>
        <w:t xml:space="preserve">נחזור בהמשך לטיעונים נוספים שמעלה המשיב. </w:t>
      </w:r>
    </w:p>
    <w:p w:rsidR="00C764B7" w:rsidRPr="00563C7D" w:rsidRDefault="00C764B7" w:rsidP="00563C7D">
      <w:pPr>
        <w:spacing w:line="360" w:lineRule="auto"/>
        <w:ind w:right="-454"/>
        <w:jc w:val="both"/>
        <w:rPr>
          <w:sz w:val="26"/>
          <w:szCs w:val="26"/>
          <w:rtl/>
        </w:rPr>
      </w:pPr>
    </w:p>
    <w:p w:rsidR="00C764B7" w:rsidRDefault="00C764B7" w:rsidP="006B7D11">
      <w:pPr>
        <w:pStyle w:val="ac"/>
        <w:spacing w:line="360" w:lineRule="auto"/>
        <w:ind w:left="397" w:right="-454"/>
        <w:jc w:val="both"/>
        <w:rPr>
          <w:sz w:val="26"/>
          <w:szCs w:val="26"/>
          <w:rtl/>
        </w:rPr>
      </w:pPr>
    </w:p>
    <w:p w:rsidR="006B7D11" w:rsidRPr="006B7D11" w:rsidRDefault="00BC1ED2" w:rsidP="003E769F">
      <w:pPr>
        <w:pStyle w:val="ac"/>
        <w:numPr>
          <w:ilvl w:val="0"/>
          <w:numId w:val="1"/>
        </w:numPr>
        <w:spacing w:line="360" w:lineRule="auto"/>
        <w:ind w:left="417"/>
        <w:jc w:val="both"/>
        <w:rPr>
          <w:b/>
          <w:bCs/>
          <w:sz w:val="32"/>
          <w:szCs w:val="32"/>
          <w:u w:val="single"/>
          <w:rtl/>
        </w:rPr>
      </w:pPr>
      <w:r>
        <w:rPr>
          <w:rFonts w:hint="cs"/>
          <w:b/>
          <w:bCs/>
          <w:sz w:val="32"/>
          <w:szCs w:val="32"/>
          <w:u w:val="single"/>
          <w:rtl/>
        </w:rPr>
        <w:t xml:space="preserve">תמצית </w:t>
      </w:r>
      <w:r w:rsidR="006B7D11">
        <w:rPr>
          <w:rFonts w:hint="cs"/>
          <w:b/>
          <w:bCs/>
          <w:sz w:val="32"/>
          <w:szCs w:val="32"/>
          <w:u w:val="single"/>
          <w:rtl/>
        </w:rPr>
        <w:t xml:space="preserve">עמדתה של המערערת </w:t>
      </w:r>
    </w:p>
    <w:p w:rsidR="006B7D11" w:rsidRDefault="006B7D11" w:rsidP="00A1483E">
      <w:pPr>
        <w:pStyle w:val="ac"/>
        <w:numPr>
          <w:ilvl w:val="0"/>
          <w:numId w:val="2"/>
        </w:numPr>
        <w:spacing w:line="360" w:lineRule="auto"/>
        <w:ind w:left="397" w:right="-454"/>
        <w:jc w:val="both"/>
        <w:rPr>
          <w:sz w:val="26"/>
          <w:szCs w:val="26"/>
        </w:rPr>
      </w:pPr>
      <w:r>
        <w:rPr>
          <w:rFonts w:hint="cs"/>
          <w:sz w:val="26"/>
          <w:szCs w:val="26"/>
          <w:rtl/>
        </w:rPr>
        <w:t>גישת המערערת מתבססת, בראש ובראשונה, על לשונו של סעיף 126(ב) לפקודה. לדעתה,</w:t>
      </w:r>
      <w:r w:rsidR="00156121">
        <w:rPr>
          <w:rFonts w:hint="cs"/>
          <w:sz w:val="26"/>
          <w:szCs w:val="26"/>
          <w:rtl/>
        </w:rPr>
        <w:t xml:space="preserve"> כל דרישות הסעיף</w:t>
      </w:r>
      <w:r>
        <w:rPr>
          <w:rFonts w:hint="cs"/>
          <w:sz w:val="26"/>
          <w:szCs w:val="26"/>
          <w:rtl/>
        </w:rPr>
        <w:t xml:space="preserve"> נתמלאו במקרה הנוכחי</w:t>
      </w:r>
      <w:r w:rsidR="006A5BA4">
        <w:rPr>
          <w:rFonts w:hint="cs"/>
          <w:sz w:val="26"/>
          <w:szCs w:val="26"/>
          <w:rtl/>
        </w:rPr>
        <w:t>: הדיבידנדים חולקו מתוך "הכנסות</w:t>
      </w:r>
      <w:r>
        <w:rPr>
          <w:rFonts w:hint="cs"/>
          <w:sz w:val="26"/>
          <w:szCs w:val="26"/>
          <w:rtl/>
        </w:rPr>
        <w:t xml:space="preserve">" אבנת; ההכנסות הופקו בישראל; ואבנת עצמה היא נישומה למס חברות על פי הפקודה. </w:t>
      </w:r>
    </w:p>
    <w:p w:rsidR="004C36CC" w:rsidRDefault="004C36CC" w:rsidP="006B7D11">
      <w:pPr>
        <w:pStyle w:val="ac"/>
        <w:spacing w:line="360" w:lineRule="auto"/>
        <w:ind w:left="397" w:right="-454"/>
        <w:jc w:val="both"/>
        <w:rPr>
          <w:sz w:val="26"/>
          <w:szCs w:val="26"/>
          <w:rtl/>
        </w:rPr>
      </w:pPr>
    </w:p>
    <w:p w:rsidR="004C36CC" w:rsidRDefault="006B7D11" w:rsidP="000C4EED">
      <w:pPr>
        <w:pStyle w:val="ac"/>
        <w:spacing w:line="360" w:lineRule="auto"/>
        <w:ind w:left="397" w:right="-454"/>
        <w:jc w:val="both"/>
        <w:rPr>
          <w:sz w:val="26"/>
          <w:szCs w:val="26"/>
          <w:rtl/>
        </w:rPr>
      </w:pPr>
      <w:r>
        <w:rPr>
          <w:rFonts w:hint="cs"/>
          <w:sz w:val="26"/>
          <w:szCs w:val="26"/>
          <w:rtl/>
        </w:rPr>
        <w:t xml:space="preserve">על </w:t>
      </w:r>
      <w:r w:rsidR="006A5BA4">
        <w:rPr>
          <w:rFonts w:hint="cs"/>
          <w:sz w:val="26"/>
          <w:szCs w:val="26"/>
          <w:rtl/>
        </w:rPr>
        <w:t>פי עמד</w:t>
      </w:r>
      <w:r w:rsidR="00156121">
        <w:rPr>
          <w:rFonts w:hint="cs"/>
          <w:sz w:val="26"/>
          <w:szCs w:val="26"/>
          <w:rtl/>
        </w:rPr>
        <w:t>ה זו, מ</w:t>
      </w:r>
      <w:r>
        <w:rPr>
          <w:rFonts w:hint="cs"/>
          <w:sz w:val="26"/>
          <w:szCs w:val="26"/>
          <w:rtl/>
        </w:rPr>
        <w:t>ש</w:t>
      </w:r>
      <w:r w:rsidR="00156121">
        <w:rPr>
          <w:rFonts w:hint="cs"/>
          <w:sz w:val="26"/>
          <w:szCs w:val="26"/>
          <w:rtl/>
        </w:rPr>
        <w:t>הו</w:t>
      </w:r>
      <w:r>
        <w:rPr>
          <w:rFonts w:hint="cs"/>
          <w:sz w:val="26"/>
          <w:szCs w:val="26"/>
          <w:rtl/>
        </w:rPr>
        <w:t xml:space="preserve">כח כי החלוקה </w:t>
      </w:r>
      <w:r w:rsidR="008B4120">
        <w:rPr>
          <w:rFonts w:hint="cs"/>
          <w:sz w:val="26"/>
          <w:szCs w:val="26"/>
          <w:rtl/>
        </w:rPr>
        <w:t xml:space="preserve">היא מתוך "הכנסה" </w:t>
      </w:r>
      <w:r w:rsidR="008B4120">
        <w:rPr>
          <w:sz w:val="26"/>
          <w:szCs w:val="26"/>
          <w:rtl/>
        </w:rPr>
        <w:t>–</w:t>
      </w:r>
      <w:r w:rsidR="008B4120">
        <w:rPr>
          <w:rFonts w:hint="cs"/>
          <w:sz w:val="26"/>
          <w:szCs w:val="26"/>
          <w:rtl/>
        </w:rPr>
        <w:t xml:space="preserve"> כמשמעותה </w:t>
      </w:r>
      <w:r w:rsidR="004C36CC">
        <w:rPr>
          <w:rFonts w:hint="cs"/>
          <w:sz w:val="26"/>
          <w:szCs w:val="26"/>
          <w:rtl/>
        </w:rPr>
        <w:t>בסעיף 1 לפקודה</w:t>
      </w:r>
      <w:r w:rsidR="00D2361C">
        <w:rPr>
          <w:rFonts w:hint="cs"/>
          <w:sz w:val="26"/>
          <w:szCs w:val="26"/>
          <w:rtl/>
        </w:rPr>
        <w:t xml:space="preserve"> -</w:t>
      </w:r>
      <w:r w:rsidR="004C36CC">
        <w:rPr>
          <w:rFonts w:hint="cs"/>
          <w:sz w:val="26"/>
          <w:szCs w:val="26"/>
          <w:rtl/>
        </w:rPr>
        <w:t xml:space="preserve"> אין מקום להוספת כל דרישה נוספת שאיננה כתובה בסעיף 126(ב) עצמו. לפי המערערת, פסיקתו של בית המשפט העליון בעניין </w:t>
      </w:r>
      <w:r w:rsidR="006A5BA4" w:rsidRPr="006A5BA4">
        <w:rPr>
          <w:rFonts w:hint="cs"/>
          <w:b/>
          <w:bCs/>
          <w:sz w:val="26"/>
          <w:szCs w:val="26"/>
          <w:rtl/>
        </w:rPr>
        <w:t>קניון</w:t>
      </w:r>
      <w:r w:rsidR="006A5BA4">
        <w:rPr>
          <w:rFonts w:hint="cs"/>
          <w:sz w:val="26"/>
          <w:szCs w:val="26"/>
          <w:rtl/>
        </w:rPr>
        <w:t xml:space="preserve"> </w:t>
      </w:r>
      <w:r w:rsidR="004C36CC">
        <w:rPr>
          <w:rFonts w:hint="cs"/>
          <w:b/>
          <w:bCs/>
          <w:sz w:val="26"/>
          <w:szCs w:val="26"/>
          <w:rtl/>
        </w:rPr>
        <w:t>דרורים</w:t>
      </w:r>
      <w:r w:rsidR="004C36CC">
        <w:rPr>
          <w:rFonts w:hint="cs"/>
          <w:sz w:val="26"/>
          <w:szCs w:val="26"/>
          <w:rtl/>
        </w:rPr>
        <w:t xml:space="preserve"> קובעת בהקשר זה מבח</w:t>
      </w:r>
      <w:r w:rsidR="006A5BA4">
        <w:rPr>
          <w:rFonts w:hint="cs"/>
          <w:sz w:val="26"/>
          <w:szCs w:val="26"/>
          <w:rtl/>
        </w:rPr>
        <w:t>ן פשוט וחד: האם מקור החלוקה הוא</w:t>
      </w:r>
      <w:r w:rsidR="004C36CC">
        <w:rPr>
          <w:rFonts w:hint="cs"/>
          <w:sz w:val="26"/>
          <w:szCs w:val="26"/>
          <w:rtl/>
        </w:rPr>
        <w:t xml:space="preserve"> ב"</w:t>
      </w:r>
      <w:r w:rsidR="00D16E14">
        <w:rPr>
          <w:rFonts w:hint="cs"/>
          <w:sz w:val="26"/>
          <w:szCs w:val="26"/>
          <w:rtl/>
        </w:rPr>
        <w:t>ה</w:t>
      </w:r>
      <w:r w:rsidR="004C36CC">
        <w:rPr>
          <w:rFonts w:hint="cs"/>
          <w:sz w:val="26"/>
          <w:szCs w:val="26"/>
          <w:rtl/>
        </w:rPr>
        <w:t xml:space="preserve">כנסה", אם לאו. אם </w:t>
      </w:r>
      <w:r w:rsidR="006A5BA4">
        <w:rPr>
          <w:rFonts w:hint="cs"/>
          <w:sz w:val="26"/>
          <w:szCs w:val="26"/>
          <w:rtl/>
        </w:rPr>
        <w:t>התשובה</w:t>
      </w:r>
      <w:r w:rsidR="00D2361C">
        <w:rPr>
          <w:rFonts w:hint="cs"/>
          <w:sz w:val="26"/>
          <w:szCs w:val="26"/>
          <w:rtl/>
        </w:rPr>
        <w:t xml:space="preserve"> לכך</w:t>
      </w:r>
      <w:r w:rsidR="006A5BA4">
        <w:rPr>
          <w:rFonts w:hint="cs"/>
          <w:sz w:val="26"/>
          <w:szCs w:val="26"/>
          <w:rtl/>
        </w:rPr>
        <w:t xml:space="preserve"> היא </w:t>
      </w:r>
      <w:r w:rsidR="004C36CC">
        <w:rPr>
          <w:rFonts w:hint="cs"/>
          <w:sz w:val="26"/>
          <w:szCs w:val="26"/>
          <w:rtl/>
        </w:rPr>
        <w:t xml:space="preserve">כן </w:t>
      </w:r>
      <w:r w:rsidR="004C36CC">
        <w:rPr>
          <w:sz w:val="26"/>
          <w:szCs w:val="26"/>
          <w:rtl/>
        </w:rPr>
        <w:t>–</w:t>
      </w:r>
      <w:r w:rsidR="004C36CC">
        <w:rPr>
          <w:rFonts w:hint="cs"/>
          <w:sz w:val="26"/>
          <w:szCs w:val="26"/>
          <w:rtl/>
        </w:rPr>
        <w:t xml:space="preserve"> </w:t>
      </w:r>
      <w:r w:rsidR="006A5BA4">
        <w:rPr>
          <w:rFonts w:hint="cs"/>
          <w:sz w:val="26"/>
          <w:szCs w:val="26"/>
          <w:rtl/>
        </w:rPr>
        <w:t xml:space="preserve">אזי </w:t>
      </w:r>
      <w:r w:rsidR="004C36CC">
        <w:rPr>
          <w:rFonts w:hint="cs"/>
          <w:sz w:val="26"/>
          <w:szCs w:val="26"/>
          <w:rtl/>
        </w:rPr>
        <w:t>יחול סעיף 126(ב) על מקבלת הדיבידנד אף אם</w:t>
      </w:r>
      <w:r w:rsidR="000C4EED">
        <w:rPr>
          <w:rFonts w:hint="cs"/>
          <w:sz w:val="26"/>
          <w:szCs w:val="26"/>
          <w:rtl/>
        </w:rPr>
        <w:t xml:space="preserve"> מסיבה כלשהי</w:t>
      </w:r>
      <w:r w:rsidR="004C36CC">
        <w:rPr>
          <w:rFonts w:hint="cs"/>
          <w:sz w:val="26"/>
          <w:szCs w:val="26"/>
          <w:rtl/>
        </w:rPr>
        <w:t xml:space="preserve"> לא שולם מס </w:t>
      </w:r>
      <w:r w:rsidR="004C36CC" w:rsidRPr="00BC1ED2">
        <w:rPr>
          <w:rFonts w:hint="cs"/>
          <w:b/>
          <w:bCs/>
          <w:sz w:val="26"/>
          <w:szCs w:val="26"/>
          <w:rtl/>
        </w:rPr>
        <w:t>בפועל</w:t>
      </w:r>
      <w:r w:rsidR="004C36CC">
        <w:rPr>
          <w:rFonts w:hint="cs"/>
          <w:sz w:val="26"/>
          <w:szCs w:val="26"/>
          <w:rtl/>
        </w:rPr>
        <w:t xml:space="preserve"> על ההכנסה בידי החברה המחלקת. המערערת ממשיכה ומצביעה על </w:t>
      </w:r>
      <w:r w:rsidR="00A40347">
        <w:rPr>
          <w:rFonts w:hint="cs"/>
          <w:sz w:val="26"/>
          <w:szCs w:val="26"/>
          <w:rtl/>
        </w:rPr>
        <w:t>העדר</w:t>
      </w:r>
      <w:r w:rsidR="004C36CC">
        <w:rPr>
          <w:rFonts w:hint="cs"/>
          <w:sz w:val="26"/>
          <w:szCs w:val="26"/>
          <w:rtl/>
        </w:rPr>
        <w:t xml:space="preserve"> העקביות הטמון, לדעתה, בעמדת המשיב</w:t>
      </w:r>
      <w:r w:rsidR="000C4EED">
        <w:rPr>
          <w:rFonts w:hint="cs"/>
          <w:sz w:val="26"/>
          <w:szCs w:val="26"/>
          <w:rtl/>
        </w:rPr>
        <w:t>, כמפורט בהמשך.</w:t>
      </w:r>
      <w:r w:rsidR="004C36CC">
        <w:rPr>
          <w:rFonts w:hint="cs"/>
          <w:sz w:val="26"/>
          <w:szCs w:val="26"/>
          <w:rtl/>
        </w:rPr>
        <w:t xml:space="preserve"> </w:t>
      </w:r>
    </w:p>
    <w:p w:rsidR="004C36CC" w:rsidRDefault="004C36CC" w:rsidP="006B7D11">
      <w:pPr>
        <w:pStyle w:val="ac"/>
        <w:spacing w:line="360" w:lineRule="auto"/>
        <w:ind w:left="397" w:right="-454"/>
        <w:jc w:val="both"/>
        <w:rPr>
          <w:sz w:val="26"/>
          <w:szCs w:val="26"/>
          <w:rtl/>
        </w:rPr>
      </w:pPr>
    </w:p>
    <w:p w:rsidR="004C36CC" w:rsidRDefault="004C36CC" w:rsidP="00A30A72">
      <w:pPr>
        <w:pStyle w:val="ac"/>
        <w:numPr>
          <w:ilvl w:val="0"/>
          <w:numId w:val="2"/>
        </w:numPr>
        <w:spacing w:line="360" w:lineRule="auto"/>
        <w:ind w:left="397" w:right="-454"/>
        <w:jc w:val="both"/>
        <w:rPr>
          <w:sz w:val="26"/>
          <w:szCs w:val="26"/>
          <w:rtl/>
        </w:rPr>
      </w:pPr>
      <w:r>
        <w:rPr>
          <w:rFonts w:hint="cs"/>
          <w:sz w:val="26"/>
          <w:szCs w:val="26"/>
          <w:rtl/>
        </w:rPr>
        <w:t xml:space="preserve">במישור </w:t>
      </w:r>
      <w:r w:rsidR="00D16E14">
        <w:rPr>
          <w:rFonts w:hint="cs"/>
          <w:sz w:val="26"/>
          <w:szCs w:val="26"/>
          <w:rtl/>
        </w:rPr>
        <w:t xml:space="preserve">התכליתי, </w:t>
      </w:r>
      <w:r w:rsidR="00A40347">
        <w:rPr>
          <w:rFonts w:hint="cs"/>
          <w:sz w:val="26"/>
          <w:szCs w:val="26"/>
          <w:rtl/>
        </w:rPr>
        <w:t xml:space="preserve">בכל </w:t>
      </w:r>
      <w:r w:rsidR="00D16E14">
        <w:rPr>
          <w:rFonts w:hint="cs"/>
          <w:sz w:val="26"/>
          <w:szCs w:val="26"/>
          <w:rtl/>
        </w:rPr>
        <w:t>הנוגע למודל המיסוי הדו-</w:t>
      </w:r>
      <w:r>
        <w:rPr>
          <w:rFonts w:hint="cs"/>
          <w:sz w:val="26"/>
          <w:szCs w:val="26"/>
          <w:rtl/>
        </w:rPr>
        <w:t>שלבי ומקומו של סעיף 12</w:t>
      </w:r>
      <w:r w:rsidR="00244DB9">
        <w:rPr>
          <w:rFonts w:hint="cs"/>
          <w:sz w:val="26"/>
          <w:szCs w:val="26"/>
          <w:rtl/>
        </w:rPr>
        <w:t>6(ב) בשיטה זו, גורסת המערערת כי:</w:t>
      </w:r>
    </w:p>
    <w:p w:rsidR="00244DB9" w:rsidRDefault="00244DB9" w:rsidP="00D2361C">
      <w:pPr>
        <w:pStyle w:val="ac"/>
        <w:spacing w:line="360" w:lineRule="auto"/>
        <w:ind w:left="397" w:right="-454"/>
        <w:jc w:val="both"/>
        <w:rPr>
          <w:sz w:val="26"/>
          <w:szCs w:val="26"/>
          <w:rtl/>
        </w:rPr>
      </w:pPr>
    </w:p>
    <w:p w:rsidR="00244DB9" w:rsidRDefault="00244DB9" w:rsidP="00244DB9">
      <w:pPr>
        <w:pStyle w:val="ac"/>
        <w:spacing w:line="360" w:lineRule="auto"/>
        <w:ind w:left="1134" w:right="567"/>
        <w:jc w:val="both"/>
        <w:rPr>
          <w:b/>
          <w:bCs/>
          <w:sz w:val="26"/>
          <w:szCs w:val="26"/>
          <w:rtl/>
        </w:rPr>
      </w:pPr>
      <w:r>
        <w:rPr>
          <w:rFonts w:hint="cs"/>
          <w:b/>
          <w:bCs/>
          <w:sz w:val="26"/>
          <w:szCs w:val="26"/>
          <w:rtl/>
        </w:rPr>
        <w:t xml:space="preserve">"גם ברמה התכליתית, ניתן להראות כיצד בחירת המחוקק בלשון 'הכנסה' במסגרת תנאי הרווח שמקורו בהכנסה </w:t>
      </w:r>
      <w:r>
        <w:rPr>
          <w:b/>
          <w:bCs/>
          <w:sz w:val="26"/>
          <w:szCs w:val="26"/>
          <w:rtl/>
        </w:rPr>
        <w:t>–</w:t>
      </w:r>
      <w:r>
        <w:rPr>
          <w:rFonts w:hint="cs"/>
          <w:b/>
          <w:bCs/>
          <w:sz w:val="26"/>
          <w:szCs w:val="26"/>
          <w:rtl/>
        </w:rPr>
        <w:t xml:space="preserve"> להבדיל מ'הכנסה חייבת' </w:t>
      </w:r>
      <w:r>
        <w:rPr>
          <w:b/>
          <w:bCs/>
          <w:sz w:val="26"/>
          <w:szCs w:val="26"/>
          <w:rtl/>
        </w:rPr>
        <w:t>–</w:t>
      </w:r>
      <w:r>
        <w:rPr>
          <w:rFonts w:hint="cs"/>
          <w:b/>
          <w:bCs/>
          <w:sz w:val="26"/>
          <w:szCs w:val="26"/>
          <w:rtl/>
        </w:rPr>
        <w:t xml:space="preserve"> משרתת את תכלית המיסוי הדו-שלבי.</w:t>
      </w:r>
    </w:p>
    <w:p w:rsidR="00244DB9" w:rsidRDefault="00244DB9" w:rsidP="00244DB9">
      <w:pPr>
        <w:pStyle w:val="ac"/>
        <w:spacing w:line="360" w:lineRule="auto"/>
        <w:ind w:left="1134" w:right="567"/>
        <w:jc w:val="both"/>
        <w:rPr>
          <w:b/>
          <w:bCs/>
          <w:sz w:val="26"/>
          <w:szCs w:val="26"/>
          <w:rtl/>
        </w:rPr>
      </w:pPr>
      <w:r>
        <w:rPr>
          <w:rFonts w:hint="cs"/>
          <w:b/>
          <w:bCs/>
          <w:sz w:val="26"/>
          <w:szCs w:val="26"/>
          <w:rtl/>
        </w:rPr>
        <w:t>...</w:t>
      </w:r>
    </w:p>
    <w:p w:rsidR="00244DB9" w:rsidRDefault="00244DB9" w:rsidP="00244DB9">
      <w:pPr>
        <w:pStyle w:val="ac"/>
        <w:spacing w:line="360" w:lineRule="auto"/>
        <w:ind w:left="1134" w:right="567"/>
        <w:jc w:val="both"/>
        <w:rPr>
          <w:b/>
          <w:bCs/>
          <w:sz w:val="26"/>
          <w:szCs w:val="26"/>
          <w:rtl/>
        </w:rPr>
      </w:pPr>
      <w:r>
        <w:rPr>
          <w:rFonts w:hint="cs"/>
          <w:b/>
          <w:bCs/>
          <w:sz w:val="26"/>
          <w:szCs w:val="26"/>
          <w:rtl/>
        </w:rPr>
        <w:t xml:space="preserve">לא בכדי נקט המחוקק במונח 'הכנסה' (להבדיל מ'הכנסה חייבת') כביטוי לתנאי הבסיסי לתחולת סעיף 126(ב) לפקודה על דיבידנד בין חברתי </w:t>
      </w:r>
      <w:r>
        <w:rPr>
          <w:b/>
          <w:bCs/>
          <w:sz w:val="26"/>
          <w:szCs w:val="26"/>
          <w:rtl/>
        </w:rPr>
        <w:t>–</w:t>
      </w:r>
      <w:r>
        <w:rPr>
          <w:rFonts w:hint="cs"/>
          <w:b/>
          <w:bCs/>
          <w:sz w:val="26"/>
          <w:szCs w:val="26"/>
          <w:rtl/>
        </w:rPr>
        <w:t xml:space="preserve"> תנאי הרוו</w:t>
      </w:r>
      <w:r w:rsidR="008544B1">
        <w:rPr>
          <w:rFonts w:hint="cs"/>
          <w:b/>
          <w:bCs/>
          <w:sz w:val="26"/>
          <w:szCs w:val="26"/>
          <w:rtl/>
        </w:rPr>
        <w:t>ח שמקורו בהכנסה; זאת, מפני שעל-מנת להגשים את עקרונות מודל המיסוי הדו-שלבי, די בכך שהרווח המחולק מקורו ב'הכנסה' שהופקה או נצמחה בידי החברה המחלקת והי</w:t>
      </w:r>
      <w:r w:rsidR="00A83221">
        <w:rPr>
          <w:rFonts w:hint="cs"/>
          <w:b/>
          <w:bCs/>
          <w:sz w:val="26"/>
          <w:szCs w:val="26"/>
          <w:rtl/>
        </w:rPr>
        <w:t>ה כפוף להס</w:t>
      </w:r>
      <w:r w:rsidR="008544B1">
        <w:rPr>
          <w:rFonts w:hint="cs"/>
          <w:b/>
          <w:bCs/>
          <w:sz w:val="26"/>
          <w:szCs w:val="26"/>
          <w:rtl/>
        </w:rPr>
        <w:t xml:space="preserve">דרי הפקודה השונים, ואין הכרח לצמצם את תחולת סעיף 126(ב) </w:t>
      </w:r>
      <w:r w:rsidR="008544B1">
        <w:rPr>
          <w:rFonts w:hint="cs"/>
          <w:b/>
          <w:bCs/>
          <w:sz w:val="26"/>
          <w:szCs w:val="26"/>
          <w:rtl/>
        </w:rPr>
        <w:lastRenderedPageBreak/>
        <w:t xml:space="preserve">לפקודה רק לחלוקת רווחים מתוך 'ההכנסה החייבת' של החברה המחלקת </w:t>
      </w:r>
      <w:r w:rsidR="008544B1">
        <w:rPr>
          <w:b/>
          <w:bCs/>
          <w:sz w:val="26"/>
          <w:szCs w:val="26"/>
          <w:rtl/>
        </w:rPr>
        <w:t>–</w:t>
      </w:r>
      <w:r w:rsidR="008544B1">
        <w:rPr>
          <w:rFonts w:hint="cs"/>
          <w:b/>
          <w:bCs/>
          <w:sz w:val="26"/>
          <w:szCs w:val="26"/>
          <w:rtl/>
        </w:rPr>
        <w:t xml:space="preserve"> ולמעשה, צמצום שכזה אף עלול במקרים רבים לסכל את מודל המיסוי הדו-שלבי.</w:t>
      </w:r>
      <w:r w:rsidR="00231A2F">
        <w:rPr>
          <w:rFonts w:hint="cs"/>
          <w:b/>
          <w:bCs/>
          <w:sz w:val="26"/>
          <w:szCs w:val="26"/>
          <w:rtl/>
        </w:rPr>
        <w:t>"</w:t>
      </w:r>
    </w:p>
    <w:p w:rsidR="00D612A2" w:rsidRDefault="00D612A2" w:rsidP="00244DB9">
      <w:pPr>
        <w:pStyle w:val="ac"/>
        <w:spacing w:line="360" w:lineRule="auto"/>
        <w:ind w:left="1134" w:right="567"/>
        <w:jc w:val="both"/>
        <w:rPr>
          <w:sz w:val="26"/>
          <w:szCs w:val="26"/>
          <w:rtl/>
        </w:rPr>
      </w:pPr>
      <w:r>
        <w:rPr>
          <w:rFonts w:hint="cs"/>
          <w:sz w:val="26"/>
          <w:szCs w:val="26"/>
          <w:rtl/>
        </w:rPr>
        <w:t>(מתוך סעיפים 4.5 ו- 4.7 לסיכומי המערערת)</w:t>
      </w:r>
    </w:p>
    <w:p w:rsidR="00D612A2" w:rsidRDefault="00D612A2" w:rsidP="00244DB9">
      <w:pPr>
        <w:pStyle w:val="ac"/>
        <w:spacing w:line="360" w:lineRule="auto"/>
        <w:ind w:left="1134" w:right="567"/>
        <w:jc w:val="both"/>
        <w:rPr>
          <w:sz w:val="26"/>
          <w:szCs w:val="26"/>
          <w:rtl/>
        </w:rPr>
      </w:pPr>
    </w:p>
    <w:p w:rsidR="006B7D11" w:rsidRPr="00D16E14" w:rsidRDefault="00D612A2" w:rsidP="009B7D33">
      <w:pPr>
        <w:pStyle w:val="ac"/>
        <w:spacing w:line="360" w:lineRule="auto"/>
        <w:ind w:left="397" w:right="-454"/>
        <w:jc w:val="both"/>
        <w:rPr>
          <w:sz w:val="26"/>
          <w:szCs w:val="26"/>
          <w:highlight w:val="yellow"/>
          <w:rtl/>
        </w:rPr>
      </w:pPr>
      <w:r>
        <w:rPr>
          <w:rFonts w:hint="cs"/>
          <w:sz w:val="26"/>
          <w:szCs w:val="26"/>
          <w:rtl/>
        </w:rPr>
        <w:t xml:space="preserve">ואשר למצב </w:t>
      </w:r>
      <w:r>
        <w:rPr>
          <w:rFonts w:hint="cs"/>
          <w:b/>
          <w:bCs/>
          <w:sz w:val="26"/>
          <w:szCs w:val="26"/>
          <w:rtl/>
        </w:rPr>
        <w:t>"של הוצאות המותרות בניכוי לצורכי מס בלבד, ואינן נרשמות כהוצאות חשבונאיות"</w:t>
      </w:r>
      <w:r w:rsidRPr="00D612A2">
        <w:rPr>
          <w:rFonts w:hint="cs"/>
          <w:sz w:val="26"/>
          <w:szCs w:val="26"/>
          <w:rtl/>
        </w:rPr>
        <w:t xml:space="preserve">, גורסת המערערת כי </w:t>
      </w:r>
      <w:r w:rsidR="009B7D33">
        <w:rPr>
          <w:rFonts w:hint="cs"/>
          <w:b/>
          <w:bCs/>
          <w:sz w:val="26"/>
          <w:szCs w:val="26"/>
          <w:rtl/>
        </w:rPr>
        <w:t xml:space="preserve">"... </w:t>
      </w:r>
      <w:r w:rsidR="009B7D33" w:rsidRPr="009125B7">
        <w:rPr>
          <w:rFonts w:hint="cs"/>
          <w:b/>
          <w:bCs/>
          <w:sz w:val="26"/>
          <w:szCs w:val="26"/>
          <w:rtl/>
        </w:rPr>
        <w:t>הרווח החשבונאי הכשיר לחלוקה עבר ברשת המס, ועדיין גבוה מההכנסה החייבת</w:t>
      </w:r>
      <w:r w:rsidR="00D60771">
        <w:rPr>
          <w:rFonts w:hint="cs"/>
          <w:b/>
          <w:bCs/>
          <w:sz w:val="26"/>
          <w:szCs w:val="26"/>
          <w:rtl/>
        </w:rPr>
        <w:t>; במצב זה</w:t>
      </w:r>
      <w:r w:rsidR="009B7D33" w:rsidRPr="009125B7">
        <w:rPr>
          <w:rFonts w:hint="cs"/>
          <w:b/>
          <w:bCs/>
          <w:sz w:val="26"/>
          <w:szCs w:val="26"/>
          <w:rtl/>
        </w:rPr>
        <w:t>... הגבלת החלוקה הפטורה רק להכנסה החייבת תב</w:t>
      </w:r>
      <w:r w:rsidR="0058276E" w:rsidRPr="009125B7">
        <w:rPr>
          <w:rFonts w:hint="cs"/>
          <w:b/>
          <w:bCs/>
          <w:sz w:val="26"/>
          <w:szCs w:val="26"/>
          <w:rtl/>
        </w:rPr>
        <w:t>יא</w:t>
      </w:r>
      <w:r w:rsidR="009B7D33" w:rsidRPr="009125B7">
        <w:rPr>
          <w:rFonts w:hint="cs"/>
          <w:b/>
          <w:bCs/>
          <w:sz w:val="26"/>
          <w:szCs w:val="26"/>
          <w:rtl/>
        </w:rPr>
        <w:t xml:space="preserve"> דה-פקטו לשלילת ניכוי ההוצאה</w:t>
      </w:r>
      <w:r w:rsidR="009B7D33">
        <w:rPr>
          <w:rFonts w:hint="cs"/>
          <w:b/>
          <w:bCs/>
          <w:sz w:val="26"/>
          <w:szCs w:val="26"/>
          <w:rtl/>
        </w:rPr>
        <w:t xml:space="preserve"> </w:t>
      </w:r>
      <w:r w:rsidR="009B7D33" w:rsidRPr="00D60771">
        <w:rPr>
          <w:rFonts w:hint="cs"/>
          <w:b/>
          <w:bCs/>
          <w:sz w:val="26"/>
          <w:szCs w:val="26"/>
          <w:rtl/>
        </w:rPr>
        <w:t>(שהותר מפורשות ע"י המחוקק)</w:t>
      </w:r>
      <w:r w:rsidR="00D60771">
        <w:rPr>
          <w:rFonts w:hint="cs"/>
          <w:b/>
          <w:bCs/>
          <w:sz w:val="26"/>
          <w:szCs w:val="26"/>
          <w:rtl/>
        </w:rPr>
        <w:t>"</w:t>
      </w:r>
      <w:r w:rsidR="009B7D33" w:rsidRPr="00D60771">
        <w:rPr>
          <w:rFonts w:hint="cs"/>
          <w:b/>
          <w:bCs/>
          <w:sz w:val="26"/>
          <w:szCs w:val="26"/>
          <w:rtl/>
        </w:rPr>
        <w:t xml:space="preserve"> </w:t>
      </w:r>
      <w:r w:rsidR="009B7D33" w:rsidRPr="00D60771">
        <w:rPr>
          <w:rFonts w:hint="cs"/>
          <w:sz w:val="26"/>
          <w:szCs w:val="26"/>
          <w:rtl/>
        </w:rPr>
        <w:t>(סעיף 4.9, שם)</w:t>
      </w:r>
      <w:r w:rsidR="0058276E" w:rsidRPr="00D60771">
        <w:rPr>
          <w:rFonts w:hint="cs"/>
          <w:sz w:val="26"/>
          <w:szCs w:val="26"/>
          <w:rtl/>
        </w:rPr>
        <w:t>.</w:t>
      </w:r>
      <w:r w:rsidR="0058276E">
        <w:rPr>
          <w:rFonts w:hint="cs"/>
          <w:sz w:val="26"/>
          <w:szCs w:val="26"/>
          <w:rtl/>
        </w:rPr>
        <w:t xml:space="preserve"> </w:t>
      </w:r>
    </w:p>
    <w:p w:rsidR="00691AE0" w:rsidRDefault="00691AE0" w:rsidP="007F5051">
      <w:pPr>
        <w:spacing w:line="360" w:lineRule="auto"/>
        <w:ind w:left="397" w:right="-454"/>
        <w:jc w:val="both"/>
        <w:rPr>
          <w:rtl/>
        </w:rPr>
      </w:pPr>
    </w:p>
    <w:p w:rsidR="00694556" w:rsidRDefault="006E0D2A" w:rsidP="004C36CC">
      <w:pPr>
        <w:pStyle w:val="ac"/>
        <w:numPr>
          <w:ilvl w:val="0"/>
          <w:numId w:val="1"/>
        </w:numPr>
        <w:spacing w:line="360" w:lineRule="auto"/>
        <w:ind w:left="417"/>
        <w:jc w:val="both"/>
        <w:rPr>
          <w:b/>
          <w:bCs/>
          <w:sz w:val="32"/>
          <w:szCs w:val="32"/>
          <w:u w:val="single"/>
        </w:rPr>
      </w:pPr>
      <w:r>
        <w:rPr>
          <w:rFonts w:hint="cs"/>
          <w:b/>
          <w:bCs/>
          <w:sz w:val="32"/>
          <w:szCs w:val="32"/>
          <w:u w:val="single"/>
          <w:rtl/>
        </w:rPr>
        <w:t>דיון</w:t>
      </w:r>
    </w:p>
    <w:p w:rsidR="00B4592F" w:rsidRDefault="00085C50" w:rsidP="00C764B7">
      <w:pPr>
        <w:pStyle w:val="ac"/>
        <w:numPr>
          <w:ilvl w:val="0"/>
          <w:numId w:val="2"/>
        </w:numPr>
        <w:spacing w:line="360" w:lineRule="auto"/>
        <w:ind w:left="397" w:right="-454"/>
        <w:jc w:val="both"/>
        <w:rPr>
          <w:sz w:val="26"/>
          <w:szCs w:val="26"/>
          <w:rtl/>
        </w:rPr>
      </w:pPr>
      <w:r>
        <w:rPr>
          <w:rFonts w:hint="cs"/>
          <w:sz w:val="26"/>
          <w:szCs w:val="26"/>
          <w:rtl/>
        </w:rPr>
        <w:t>לאחר שקילת עמדות הצדדים</w:t>
      </w:r>
      <w:r w:rsidR="00563C7D">
        <w:rPr>
          <w:rFonts w:hint="cs"/>
          <w:sz w:val="26"/>
          <w:szCs w:val="26"/>
          <w:rtl/>
        </w:rPr>
        <w:t xml:space="preserve"> ומתן תשומת לב לטענות כבדות המשקל בפי המשיב</w:t>
      </w:r>
      <w:r>
        <w:rPr>
          <w:rFonts w:hint="cs"/>
          <w:sz w:val="26"/>
          <w:szCs w:val="26"/>
          <w:rtl/>
        </w:rPr>
        <w:t xml:space="preserve">, הגעתי למסקנה כי אין בהוראות סעיף 126(ב) לפקודה </w:t>
      </w:r>
      <w:r w:rsidR="00E87A11">
        <w:rPr>
          <w:rFonts w:hint="cs"/>
          <w:sz w:val="26"/>
          <w:szCs w:val="26"/>
          <w:rtl/>
        </w:rPr>
        <w:t>את ה</w:t>
      </w:r>
      <w:r>
        <w:rPr>
          <w:rFonts w:hint="cs"/>
          <w:sz w:val="26"/>
          <w:szCs w:val="26"/>
          <w:rtl/>
        </w:rPr>
        <w:t>עיגון</w:t>
      </w:r>
      <w:r w:rsidR="00E87A11">
        <w:rPr>
          <w:rFonts w:hint="cs"/>
          <w:sz w:val="26"/>
          <w:szCs w:val="26"/>
          <w:rtl/>
        </w:rPr>
        <w:t xml:space="preserve"> הנדרש</w:t>
      </w:r>
      <w:r>
        <w:rPr>
          <w:rFonts w:hint="cs"/>
          <w:sz w:val="26"/>
          <w:szCs w:val="26"/>
          <w:rtl/>
        </w:rPr>
        <w:t xml:space="preserve"> לעמדת המשיב וכי יש לקבל את גישת המערערת בסוגיה העיקרית הנדונה. אנמק מסקנה זו להלן. </w:t>
      </w:r>
    </w:p>
    <w:p w:rsidR="00085C50" w:rsidRDefault="00085C50" w:rsidP="00B4592F">
      <w:pPr>
        <w:pStyle w:val="ac"/>
        <w:spacing w:line="360" w:lineRule="auto"/>
        <w:ind w:left="397" w:right="-454"/>
        <w:jc w:val="both"/>
        <w:rPr>
          <w:sz w:val="26"/>
          <w:szCs w:val="26"/>
        </w:rPr>
      </w:pPr>
    </w:p>
    <w:p w:rsidR="001C08E7" w:rsidRPr="00B4592F" w:rsidRDefault="00C764B7" w:rsidP="001C08E7">
      <w:pPr>
        <w:spacing w:line="360" w:lineRule="auto"/>
        <w:ind w:right="-454"/>
        <w:jc w:val="both"/>
        <w:rPr>
          <w:b/>
          <w:bCs/>
          <w:sz w:val="26"/>
          <w:szCs w:val="26"/>
          <w:u w:val="single"/>
        </w:rPr>
      </w:pPr>
      <w:r w:rsidRPr="00C764B7">
        <w:rPr>
          <w:rFonts w:hint="cs"/>
          <w:b/>
          <w:bCs/>
          <w:sz w:val="26"/>
          <w:szCs w:val="26"/>
          <w:rtl/>
        </w:rPr>
        <w:t xml:space="preserve">       </w:t>
      </w:r>
      <w:r w:rsidR="00B4592F">
        <w:rPr>
          <w:rFonts w:hint="cs"/>
          <w:b/>
          <w:bCs/>
          <w:sz w:val="26"/>
          <w:szCs w:val="26"/>
          <w:u w:val="single"/>
          <w:rtl/>
        </w:rPr>
        <w:t>התנאי לפיו "מקורם בהכנסות"</w:t>
      </w:r>
    </w:p>
    <w:p w:rsidR="00E85964" w:rsidRDefault="003D24E5" w:rsidP="00B4592F">
      <w:pPr>
        <w:pStyle w:val="ac"/>
        <w:numPr>
          <w:ilvl w:val="0"/>
          <w:numId w:val="2"/>
        </w:numPr>
        <w:spacing w:line="360" w:lineRule="auto"/>
        <w:ind w:left="397" w:right="-454"/>
        <w:jc w:val="both"/>
        <w:rPr>
          <w:sz w:val="26"/>
          <w:szCs w:val="26"/>
        </w:rPr>
      </w:pPr>
      <w:r>
        <w:rPr>
          <w:rFonts w:hint="cs"/>
          <w:sz w:val="26"/>
          <w:szCs w:val="26"/>
          <w:rtl/>
        </w:rPr>
        <w:t xml:space="preserve">כפי שציינתי בפסק הדין בעניין </w:t>
      </w:r>
      <w:r w:rsidRPr="003D24E5">
        <w:rPr>
          <w:rFonts w:hint="cs"/>
          <w:b/>
          <w:bCs/>
          <w:sz w:val="26"/>
          <w:szCs w:val="26"/>
          <w:rtl/>
        </w:rPr>
        <w:t>אורון</w:t>
      </w:r>
      <w:r w:rsidRPr="003D24E5">
        <w:rPr>
          <w:rFonts w:hint="cs"/>
          <w:sz w:val="26"/>
          <w:szCs w:val="26"/>
          <w:rtl/>
        </w:rPr>
        <w:t>,</w:t>
      </w:r>
      <w:r w:rsidR="001C08E7">
        <w:rPr>
          <w:rFonts w:hint="cs"/>
          <w:sz w:val="26"/>
          <w:szCs w:val="26"/>
          <w:rtl/>
        </w:rPr>
        <w:t xml:space="preserve"> המילים "שמקורם בהכנסות שהופקו או שנצמחו בישראל" הוספו  לנוסח סעיף 126(ב) לפקודה רק בשנת 2003 כחלק מתיקון מס</w:t>
      </w:r>
      <w:r w:rsidR="008232A2">
        <w:rPr>
          <w:rFonts w:hint="cs"/>
          <w:sz w:val="26"/>
          <w:szCs w:val="26"/>
          <w:rtl/>
        </w:rPr>
        <w:t>'</w:t>
      </w:r>
      <w:r w:rsidR="001C08E7">
        <w:rPr>
          <w:rFonts w:hint="cs"/>
          <w:sz w:val="26"/>
          <w:szCs w:val="26"/>
          <w:rtl/>
        </w:rPr>
        <w:t xml:space="preserve"> 132 לפקודה </w:t>
      </w:r>
      <w:r>
        <w:rPr>
          <w:rFonts w:hint="cs"/>
          <w:sz w:val="26"/>
          <w:szCs w:val="26"/>
          <w:rtl/>
        </w:rPr>
        <w:t xml:space="preserve">(ס"ח 1863, </w:t>
      </w:r>
      <w:r w:rsidR="00B4592F">
        <w:rPr>
          <w:rFonts w:hint="cs"/>
          <w:sz w:val="26"/>
          <w:szCs w:val="26"/>
          <w:rtl/>
        </w:rPr>
        <w:t>עמוד</w:t>
      </w:r>
      <w:r>
        <w:rPr>
          <w:rFonts w:hint="cs"/>
          <w:sz w:val="26"/>
          <w:szCs w:val="26"/>
          <w:rtl/>
        </w:rPr>
        <w:t xml:space="preserve"> 530, מיום 4.8.2002)</w:t>
      </w:r>
      <w:r w:rsidR="001C08E7">
        <w:rPr>
          <w:rFonts w:hint="cs"/>
          <w:sz w:val="26"/>
          <w:szCs w:val="26"/>
          <w:rtl/>
        </w:rPr>
        <w:t xml:space="preserve">. כידוע, תיקון מס' 132 </w:t>
      </w:r>
      <w:r w:rsidR="0071355B">
        <w:rPr>
          <w:rFonts w:hint="cs"/>
          <w:sz w:val="26"/>
          <w:szCs w:val="26"/>
          <w:rtl/>
        </w:rPr>
        <w:t xml:space="preserve">עסק בעיקר בהנהגת רפורמה מקיפה בהיבט הגיאוגרפי והבינלאומי של החיוב </w:t>
      </w:r>
      <w:r w:rsidR="008232A2">
        <w:rPr>
          <w:rFonts w:hint="cs"/>
          <w:sz w:val="26"/>
          <w:szCs w:val="26"/>
          <w:rtl/>
        </w:rPr>
        <w:t>ב</w:t>
      </w:r>
      <w:r w:rsidR="0071355B">
        <w:rPr>
          <w:rFonts w:hint="cs"/>
          <w:sz w:val="26"/>
          <w:szCs w:val="26"/>
          <w:rtl/>
        </w:rPr>
        <w:t xml:space="preserve">מס הכנסה על פי הפקודה, ועל רקע זה יש לדעתי להבין את הוספת המלים האמורות. נוסח סעיף 126(ב) </w:t>
      </w:r>
      <w:r w:rsidR="0071355B" w:rsidRPr="003D24E5">
        <w:rPr>
          <w:rFonts w:hint="cs"/>
          <w:b/>
          <w:bCs/>
          <w:sz w:val="26"/>
          <w:szCs w:val="26"/>
          <w:rtl/>
        </w:rPr>
        <w:t>לפני</w:t>
      </w:r>
      <w:r w:rsidR="0071355B">
        <w:rPr>
          <w:rFonts w:hint="cs"/>
          <w:sz w:val="26"/>
          <w:szCs w:val="26"/>
          <w:rtl/>
        </w:rPr>
        <w:t xml:space="preserve"> תיקון מס 132 קבע: </w:t>
      </w:r>
    </w:p>
    <w:p w:rsidR="004B5E84" w:rsidRPr="00E85964" w:rsidRDefault="004B5E84" w:rsidP="004B5E84">
      <w:pPr>
        <w:pStyle w:val="ac"/>
        <w:spacing w:line="360" w:lineRule="auto"/>
        <w:ind w:left="397" w:right="-454"/>
        <w:jc w:val="both"/>
        <w:rPr>
          <w:sz w:val="26"/>
          <w:szCs w:val="26"/>
        </w:rPr>
      </w:pPr>
    </w:p>
    <w:p w:rsidR="004B5E84" w:rsidRPr="004B5E84" w:rsidRDefault="004B5E84" w:rsidP="004B5E84">
      <w:pPr>
        <w:pStyle w:val="ac"/>
        <w:spacing w:after="160" w:line="360" w:lineRule="auto"/>
        <w:ind w:left="1134" w:right="567"/>
        <w:jc w:val="both"/>
        <w:rPr>
          <w:rFonts w:ascii="David" w:hAnsi="David"/>
          <w:b/>
          <w:bCs/>
          <w:noProof w:val="0"/>
          <w:sz w:val="26"/>
          <w:szCs w:val="26"/>
        </w:rPr>
      </w:pPr>
      <w:r>
        <w:rPr>
          <w:rFonts w:ascii="David" w:hAnsi="David" w:hint="cs"/>
          <w:b/>
          <w:bCs/>
          <w:sz w:val="26"/>
          <w:szCs w:val="26"/>
          <w:rtl/>
        </w:rPr>
        <w:t>"</w:t>
      </w:r>
      <w:r w:rsidRPr="004B5E84">
        <w:rPr>
          <w:rFonts w:ascii="David" w:hAnsi="David"/>
          <w:b/>
          <w:bCs/>
          <w:sz w:val="26"/>
          <w:szCs w:val="26"/>
          <w:rtl/>
        </w:rPr>
        <w:t>בחישוב ההכנסה החייבת לפי סעיף קטן (א) לא תיכלל הכנסה מדיבידנד או מחלוקת רווחים שנתקבלו במישרין או בעקיפין מחבר בני־אדם אחר החייב במס חברות וכן לא תיכלל הכנסה שנקבע לגביה שיעור מס מיוחד</w:t>
      </w:r>
      <w:r w:rsidR="00B40299">
        <w:rPr>
          <w:rFonts w:ascii="David" w:hAnsi="David" w:hint="cs"/>
          <w:b/>
          <w:bCs/>
          <w:sz w:val="26"/>
          <w:szCs w:val="26"/>
          <w:rtl/>
        </w:rPr>
        <w:t>."</w:t>
      </w:r>
      <w:r>
        <w:rPr>
          <w:rFonts w:ascii="David" w:hAnsi="David" w:hint="cs"/>
          <w:b/>
          <w:bCs/>
          <w:sz w:val="26"/>
          <w:szCs w:val="26"/>
          <w:rtl/>
        </w:rPr>
        <w:t xml:space="preserve"> </w:t>
      </w:r>
    </w:p>
    <w:p w:rsidR="004B5E84" w:rsidRPr="004B5E84" w:rsidRDefault="004B5E84" w:rsidP="00E85964">
      <w:pPr>
        <w:pStyle w:val="ac"/>
        <w:spacing w:line="360" w:lineRule="auto"/>
        <w:ind w:left="397" w:right="-454"/>
        <w:jc w:val="both"/>
        <w:rPr>
          <w:sz w:val="26"/>
          <w:szCs w:val="26"/>
          <w:highlight w:val="yellow"/>
          <w:rtl/>
        </w:rPr>
      </w:pPr>
    </w:p>
    <w:p w:rsidR="00E05AC1" w:rsidRDefault="0071355B" w:rsidP="00E85964">
      <w:pPr>
        <w:pStyle w:val="ac"/>
        <w:spacing w:line="360" w:lineRule="auto"/>
        <w:ind w:left="397" w:right="-454"/>
        <w:jc w:val="both"/>
        <w:rPr>
          <w:sz w:val="26"/>
          <w:szCs w:val="26"/>
        </w:rPr>
      </w:pPr>
      <w:r>
        <w:rPr>
          <w:rFonts w:hint="cs"/>
          <w:sz w:val="26"/>
          <w:szCs w:val="26"/>
          <w:rtl/>
        </w:rPr>
        <w:t>דהיינו</w:t>
      </w:r>
      <w:r w:rsidR="003D24E5">
        <w:rPr>
          <w:rFonts w:hint="cs"/>
          <w:sz w:val="26"/>
          <w:szCs w:val="26"/>
          <w:rtl/>
        </w:rPr>
        <w:t>,</w:t>
      </w:r>
      <w:r>
        <w:rPr>
          <w:rFonts w:hint="cs"/>
          <w:sz w:val="26"/>
          <w:szCs w:val="26"/>
          <w:rtl/>
        </w:rPr>
        <w:t xml:space="preserve"> </w:t>
      </w:r>
      <w:r w:rsidR="008232A2">
        <w:rPr>
          <w:rFonts w:hint="cs"/>
          <w:sz w:val="26"/>
          <w:szCs w:val="26"/>
          <w:rtl/>
        </w:rPr>
        <w:t xml:space="preserve">קודם לכן </w:t>
      </w:r>
      <w:r>
        <w:rPr>
          <w:rFonts w:hint="cs"/>
          <w:sz w:val="26"/>
          <w:szCs w:val="26"/>
          <w:rtl/>
        </w:rPr>
        <w:t xml:space="preserve">לא הייתה הוראה לפיה מקור הדיבידנד חייב להיות מתוך "הכנסה" בידי החברה המחלקת, וספק בעיניי אם המחוקק, אגב חקיקת תיקון מס' 132, התכוון להבהיר </w:t>
      </w:r>
      <w:r w:rsidRPr="0071355B">
        <w:rPr>
          <w:rFonts w:hint="cs"/>
          <w:b/>
          <w:bCs/>
          <w:sz w:val="26"/>
          <w:szCs w:val="26"/>
          <w:rtl/>
        </w:rPr>
        <w:t>נקודה</w:t>
      </w:r>
      <w:r>
        <w:rPr>
          <w:rFonts w:hint="cs"/>
          <w:sz w:val="26"/>
          <w:szCs w:val="26"/>
          <w:rtl/>
        </w:rPr>
        <w:t xml:space="preserve"> </w:t>
      </w:r>
      <w:r w:rsidRPr="0071355B">
        <w:rPr>
          <w:rFonts w:hint="cs"/>
          <w:b/>
          <w:bCs/>
          <w:sz w:val="26"/>
          <w:szCs w:val="26"/>
          <w:rtl/>
        </w:rPr>
        <w:t>זו</w:t>
      </w:r>
      <w:r w:rsidR="00A40347">
        <w:rPr>
          <w:rFonts w:hint="cs"/>
          <w:sz w:val="26"/>
          <w:szCs w:val="26"/>
          <w:rtl/>
        </w:rPr>
        <w:t xml:space="preserve"> דווקא</w:t>
      </w:r>
      <w:r w:rsidR="008232A2">
        <w:rPr>
          <w:rFonts w:hint="cs"/>
          <w:sz w:val="26"/>
          <w:szCs w:val="26"/>
          <w:rtl/>
        </w:rPr>
        <w:t>.</w:t>
      </w:r>
      <w:r w:rsidR="003D24E5">
        <w:rPr>
          <w:rFonts w:hint="cs"/>
          <w:sz w:val="26"/>
          <w:szCs w:val="26"/>
          <w:rtl/>
        </w:rPr>
        <w:t xml:space="preserve"> אף על פי כן, המשכתי וכתבתי שם כי </w:t>
      </w:r>
      <w:r w:rsidR="00185023">
        <w:rPr>
          <w:rFonts w:hint="cs"/>
          <w:b/>
          <w:bCs/>
          <w:sz w:val="26"/>
          <w:szCs w:val="26"/>
          <w:rtl/>
        </w:rPr>
        <w:t xml:space="preserve">"לדידי, לשונו הברורה של סעיף 126(ב) היום איננה מותירה מקום לטעון כי הוראותיו של אותו סעיף יחולו כאשר מחולק </w:t>
      </w:r>
      <w:r w:rsidR="00185023">
        <w:rPr>
          <w:rFonts w:hint="cs"/>
          <w:b/>
          <w:bCs/>
          <w:sz w:val="26"/>
          <w:szCs w:val="26"/>
          <w:rtl/>
        </w:rPr>
        <w:lastRenderedPageBreak/>
        <w:t xml:space="preserve">דיבידנד מתוך סכום אשר לפי טיבו כלל איננו בבחינת 'הכנסה' בידי החברה המחלקת..."  </w:t>
      </w:r>
      <w:r w:rsidR="003D24E5">
        <w:rPr>
          <w:rFonts w:hint="cs"/>
          <w:sz w:val="26"/>
          <w:szCs w:val="26"/>
          <w:rtl/>
        </w:rPr>
        <w:t>(מתוך סעיף 51 לפסק הדין</w:t>
      </w:r>
      <w:r w:rsidR="00185023">
        <w:rPr>
          <w:rFonts w:hint="cs"/>
          <w:sz w:val="26"/>
          <w:szCs w:val="26"/>
          <w:rtl/>
        </w:rPr>
        <w:t xml:space="preserve"> </w:t>
      </w:r>
      <w:r w:rsidR="00185023">
        <w:rPr>
          <w:rFonts w:hint="cs"/>
          <w:b/>
          <w:bCs/>
          <w:sz w:val="26"/>
          <w:szCs w:val="26"/>
          <w:rtl/>
        </w:rPr>
        <w:t>אורון</w:t>
      </w:r>
      <w:r w:rsidR="00185023">
        <w:rPr>
          <w:rFonts w:hint="cs"/>
          <w:sz w:val="26"/>
          <w:szCs w:val="26"/>
          <w:rtl/>
        </w:rPr>
        <w:t xml:space="preserve"> </w:t>
      </w:r>
      <w:r w:rsidR="00185023" w:rsidRPr="00185023">
        <w:rPr>
          <w:rFonts w:hint="cs"/>
          <w:sz w:val="26"/>
          <w:szCs w:val="26"/>
          <w:rtl/>
        </w:rPr>
        <w:t>במחוזי</w:t>
      </w:r>
      <w:r w:rsidR="003D24E5" w:rsidRPr="00185023">
        <w:rPr>
          <w:rFonts w:hint="cs"/>
          <w:sz w:val="26"/>
          <w:szCs w:val="26"/>
          <w:rtl/>
        </w:rPr>
        <w:t>)</w:t>
      </w:r>
      <w:r w:rsidR="00185023">
        <w:rPr>
          <w:rFonts w:hint="cs"/>
          <w:sz w:val="26"/>
          <w:szCs w:val="26"/>
          <w:rtl/>
        </w:rPr>
        <w:t>.</w:t>
      </w:r>
      <w:r>
        <w:rPr>
          <w:rFonts w:hint="cs"/>
          <w:b/>
          <w:bCs/>
          <w:sz w:val="26"/>
          <w:szCs w:val="26"/>
          <w:rtl/>
        </w:rPr>
        <w:t xml:space="preserve"> </w:t>
      </w:r>
    </w:p>
    <w:p w:rsidR="00180610" w:rsidRDefault="00180610" w:rsidP="00180610">
      <w:pPr>
        <w:spacing w:line="360" w:lineRule="auto"/>
        <w:ind w:left="397"/>
        <w:jc w:val="both"/>
        <w:rPr>
          <w:sz w:val="26"/>
          <w:szCs w:val="26"/>
          <w:rtl/>
        </w:rPr>
      </w:pPr>
    </w:p>
    <w:p w:rsidR="00E05AC1" w:rsidRDefault="00A40347" w:rsidP="00504103">
      <w:pPr>
        <w:pStyle w:val="ac"/>
        <w:spacing w:line="360" w:lineRule="auto"/>
        <w:ind w:left="397" w:right="-454"/>
        <w:jc w:val="both"/>
        <w:rPr>
          <w:sz w:val="26"/>
          <w:szCs w:val="26"/>
        </w:rPr>
      </w:pPr>
      <w:r>
        <w:rPr>
          <w:rFonts w:hint="cs"/>
          <w:sz w:val="26"/>
          <w:szCs w:val="26"/>
          <w:rtl/>
        </w:rPr>
        <w:t xml:space="preserve">לעומת זאת, </w:t>
      </w:r>
      <w:r w:rsidR="00E05AC1">
        <w:rPr>
          <w:rFonts w:hint="cs"/>
          <w:sz w:val="26"/>
          <w:szCs w:val="26"/>
          <w:rtl/>
        </w:rPr>
        <w:t xml:space="preserve">סעיף 126(ב) כן דרש כל העת כי הדיבידנד יתקבל </w:t>
      </w:r>
      <w:r w:rsidR="00E05AC1">
        <w:rPr>
          <w:rFonts w:hint="cs"/>
          <w:b/>
          <w:bCs/>
          <w:sz w:val="26"/>
          <w:szCs w:val="26"/>
          <w:rtl/>
        </w:rPr>
        <w:t>"</w:t>
      </w:r>
      <w:r w:rsidR="00180610">
        <w:rPr>
          <w:rFonts w:hint="cs"/>
          <w:b/>
          <w:bCs/>
          <w:sz w:val="26"/>
          <w:szCs w:val="26"/>
          <w:rtl/>
        </w:rPr>
        <w:t>מחבר</w:t>
      </w:r>
      <w:r w:rsidR="00E05AC1">
        <w:rPr>
          <w:rFonts w:hint="cs"/>
          <w:b/>
          <w:bCs/>
          <w:sz w:val="26"/>
          <w:szCs w:val="26"/>
          <w:rtl/>
        </w:rPr>
        <w:t>-בני-אדם אחר החייב במס חברות"</w:t>
      </w:r>
      <w:r w:rsidR="00E05AC1">
        <w:rPr>
          <w:rFonts w:hint="cs"/>
          <w:sz w:val="26"/>
          <w:szCs w:val="26"/>
          <w:rtl/>
        </w:rPr>
        <w:t xml:space="preserve">. </w:t>
      </w:r>
    </w:p>
    <w:p w:rsidR="000E6A75" w:rsidRDefault="000E6A75" w:rsidP="000E6A75">
      <w:pPr>
        <w:ind w:left="397"/>
        <w:rPr>
          <w:sz w:val="26"/>
          <w:szCs w:val="26"/>
          <w:rtl/>
        </w:rPr>
      </w:pPr>
    </w:p>
    <w:p w:rsidR="00F42F51" w:rsidRDefault="00F42F51" w:rsidP="00C84DF7">
      <w:pPr>
        <w:pStyle w:val="ac"/>
        <w:spacing w:line="360" w:lineRule="auto"/>
        <w:ind w:left="397" w:right="-454"/>
        <w:jc w:val="both"/>
        <w:rPr>
          <w:sz w:val="26"/>
          <w:szCs w:val="26"/>
          <w:rtl/>
        </w:rPr>
      </w:pPr>
      <w:r w:rsidRPr="0071355B">
        <w:rPr>
          <w:rFonts w:hint="cs"/>
          <w:sz w:val="26"/>
          <w:szCs w:val="26"/>
          <w:rtl/>
        </w:rPr>
        <w:t>יוער כי</w:t>
      </w:r>
      <w:r>
        <w:rPr>
          <w:rFonts w:hint="cs"/>
          <w:sz w:val="26"/>
          <w:szCs w:val="26"/>
          <w:rtl/>
        </w:rPr>
        <w:t xml:space="preserve"> </w:t>
      </w:r>
      <w:r w:rsidRPr="0071355B">
        <w:rPr>
          <w:rFonts w:hint="cs"/>
          <w:sz w:val="26"/>
          <w:szCs w:val="26"/>
          <w:rtl/>
        </w:rPr>
        <w:t>תיקון מס' 132</w:t>
      </w:r>
      <w:r>
        <w:rPr>
          <w:rFonts w:hint="cs"/>
          <w:sz w:val="26"/>
          <w:szCs w:val="26"/>
          <w:rtl/>
        </w:rPr>
        <w:t xml:space="preserve"> לפקודה</w:t>
      </w:r>
      <w:r w:rsidRPr="0071355B">
        <w:rPr>
          <w:rFonts w:hint="cs"/>
          <w:sz w:val="26"/>
          <w:szCs w:val="26"/>
          <w:rtl/>
        </w:rPr>
        <w:t xml:space="preserve"> קדם ב</w:t>
      </w:r>
      <w:r>
        <w:rPr>
          <w:rFonts w:hint="cs"/>
          <w:sz w:val="26"/>
          <w:szCs w:val="26"/>
          <w:rtl/>
        </w:rPr>
        <w:t>ארבע שנים לאימוץ הגורף של התקינה החשבונאית הבינלאומית כפי שנעשה במסגרת תקן חשבונאות מספר 29 של המוסד הישראלי לתקינה בחשבונאות מחודש יולי 2006.</w:t>
      </w:r>
    </w:p>
    <w:p w:rsidR="00C840E6" w:rsidRDefault="00C840E6" w:rsidP="00C84DF7">
      <w:pPr>
        <w:pStyle w:val="ac"/>
        <w:spacing w:line="360" w:lineRule="auto"/>
        <w:ind w:left="397" w:right="-454"/>
        <w:jc w:val="both"/>
        <w:rPr>
          <w:sz w:val="26"/>
          <w:szCs w:val="26"/>
          <w:rtl/>
        </w:rPr>
      </w:pPr>
    </w:p>
    <w:p w:rsidR="00FB0D0F" w:rsidRPr="00360D8F" w:rsidRDefault="003B6DCE" w:rsidP="008C5A8F">
      <w:pPr>
        <w:pStyle w:val="ac"/>
        <w:numPr>
          <w:ilvl w:val="0"/>
          <w:numId w:val="2"/>
        </w:numPr>
        <w:spacing w:line="360" w:lineRule="auto"/>
        <w:ind w:left="397" w:right="-454"/>
        <w:jc w:val="both"/>
        <w:rPr>
          <w:sz w:val="26"/>
          <w:szCs w:val="26"/>
        </w:rPr>
      </w:pPr>
      <w:r w:rsidRPr="00360D8F">
        <w:rPr>
          <w:rFonts w:hint="cs"/>
          <w:sz w:val="26"/>
          <w:szCs w:val="26"/>
          <w:rtl/>
        </w:rPr>
        <w:t>כמוסבר</w:t>
      </w:r>
      <w:r w:rsidR="001C417D" w:rsidRPr="00360D8F">
        <w:rPr>
          <w:rFonts w:hint="cs"/>
          <w:sz w:val="26"/>
          <w:szCs w:val="26"/>
          <w:rtl/>
        </w:rPr>
        <w:t>,</w:t>
      </w:r>
      <w:r w:rsidRPr="00360D8F">
        <w:rPr>
          <w:rFonts w:hint="cs"/>
          <w:sz w:val="26"/>
          <w:szCs w:val="26"/>
          <w:rtl/>
        </w:rPr>
        <w:t xml:space="preserve"> </w:t>
      </w:r>
      <w:r w:rsidR="00FB0D0F" w:rsidRPr="00360D8F">
        <w:rPr>
          <w:rFonts w:hint="cs"/>
          <w:sz w:val="26"/>
          <w:szCs w:val="26"/>
          <w:rtl/>
        </w:rPr>
        <w:t xml:space="preserve">בית המשפט העליון בעניין </w:t>
      </w:r>
      <w:r w:rsidR="00A40347" w:rsidRPr="00360D8F">
        <w:rPr>
          <w:rFonts w:hint="cs"/>
          <w:b/>
          <w:bCs/>
          <w:sz w:val="26"/>
          <w:szCs w:val="26"/>
          <w:rtl/>
        </w:rPr>
        <w:t>קניון</w:t>
      </w:r>
      <w:r w:rsidR="00A40347" w:rsidRPr="00360D8F">
        <w:rPr>
          <w:rFonts w:hint="cs"/>
          <w:sz w:val="26"/>
          <w:szCs w:val="26"/>
          <w:rtl/>
        </w:rPr>
        <w:t xml:space="preserve"> </w:t>
      </w:r>
      <w:r w:rsidR="00FB0D0F" w:rsidRPr="00360D8F">
        <w:rPr>
          <w:rFonts w:hint="cs"/>
          <w:b/>
          <w:bCs/>
          <w:sz w:val="26"/>
          <w:szCs w:val="26"/>
          <w:rtl/>
        </w:rPr>
        <w:t>דרורים</w:t>
      </w:r>
      <w:r w:rsidR="00FB0D0F" w:rsidRPr="00360D8F">
        <w:rPr>
          <w:rFonts w:hint="cs"/>
          <w:sz w:val="26"/>
          <w:szCs w:val="26"/>
          <w:rtl/>
        </w:rPr>
        <w:t xml:space="preserve"> </w:t>
      </w:r>
      <w:r w:rsidRPr="00360D8F">
        <w:rPr>
          <w:rFonts w:hint="cs"/>
          <w:sz w:val="26"/>
          <w:szCs w:val="26"/>
          <w:rtl/>
        </w:rPr>
        <w:t xml:space="preserve">נדרש לשאלה </w:t>
      </w:r>
      <w:r w:rsidR="00FB0D0F" w:rsidRPr="00360D8F">
        <w:rPr>
          <w:rFonts w:hint="cs"/>
          <w:sz w:val="26"/>
          <w:szCs w:val="26"/>
          <w:rtl/>
        </w:rPr>
        <w:t xml:space="preserve">האם רווח חשבונאי </w:t>
      </w:r>
      <w:r w:rsidR="00FB0D0F" w:rsidRPr="00360D8F">
        <w:rPr>
          <w:rFonts w:hint="cs"/>
          <w:b/>
          <w:bCs/>
          <w:sz w:val="26"/>
          <w:szCs w:val="26"/>
          <w:rtl/>
        </w:rPr>
        <w:t>שכלל איננו בבחינת "הכנסה"</w:t>
      </w:r>
      <w:r w:rsidR="00FB0D0F" w:rsidRPr="00360D8F">
        <w:rPr>
          <w:rFonts w:hint="cs"/>
          <w:sz w:val="26"/>
          <w:szCs w:val="26"/>
          <w:rtl/>
        </w:rPr>
        <w:t xml:space="preserve"> יכול לשמש מקור לדיבידנד עליו יחול סעיף 126(ב) אצל החברה המקבלת. התשובה הייתה שלילית (כפי שנפסק בבתי המשפט המחוזיים </w:t>
      </w:r>
      <w:r w:rsidR="003A30C5" w:rsidRPr="00360D8F">
        <w:rPr>
          <w:rFonts w:hint="cs"/>
          <w:sz w:val="26"/>
          <w:szCs w:val="26"/>
          <w:rtl/>
        </w:rPr>
        <w:t>קודם לכן).</w:t>
      </w:r>
      <w:r w:rsidR="00360D8F" w:rsidRPr="00360D8F">
        <w:rPr>
          <w:rFonts w:hint="cs"/>
          <w:sz w:val="26"/>
          <w:szCs w:val="26"/>
          <w:rtl/>
        </w:rPr>
        <w:t xml:space="preserve"> </w:t>
      </w:r>
      <w:r w:rsidR="00FB0D0F" w:rsidRPr="00360D8F">
        <w:rPr>
          <w:rFonts w:hint="cs"/>
          <w:sz w:val="26"/>
          <w:szCs w:val="26"/>
          <w:rtl/>
        </w:rPr>
        <w:t xml:space="preserve">כבוד  השופט מינץ הטעים: </w:t>
      </w:r>
    </w:p>
    <w:p w:rsidR="00A40347" w:rsidRPr="00360D8F" w:rsidRDefault="00A40347" w:rsidP="00A40347">
      <w:pPr>
        <w:pStyle w:val="ac"/>
        <w:rPr>
          <w:sz w:val="26"/>
          <w:szCs w:val="26"/>
          <w:rtl/>
        </w:rPr>
      </w:pPr>
    </w:p>
    <w:p w:rsidR="00A40347" w:rsidRPr="00A40347" w:rsidRDefault="00A40347" w:rsidP="00A40347">
      <w:pPr>
        <w:pStyle w:val="ac"/>
        <w:spacing w:line="360" w:lineRule="auto"/>
        <w:ind w:left="1134" w:right="567"/>
        <w:jc w:val="both"/>
        <w:rPr>
          <w:b/>
          <w:bCs/>
          <w:sz w:val="26"/>
          <w:szCs w:val="26"/>
        </w:rPr>
      </w:pPr>
      <w:r>
        <w:rPr>
          <w:rFonts w:hint="cs"/>
          <w:b/>
          <w:bCs/>
          <w:sz w:val="26"/>
          <w:szCs w:val="26"/>
          <w:rtl/>
        </w:rPr>
        <w:t xml:space="preserve">"כידוע, מודל מיסוי החברות בישראל הוא מודל דו-שלבי. בהתאם למודל זה, בשלב הראשון, החברה חייבת במס חברות בגין הכנסתה החייבת. בשלב השני, בעלי המניות היחידים של החברה מחויבים בשיעור מס משלים לשיעור המס המלא, כאשר רווחי החברה מחולקים כדיבידנד... </w:t>
      </w:r>
    </w:p>
    <w:p w:rsidR="00FB0D0F" w:rsidRPr="00741BCB" w:rsidRDefault="00A40347" w:rsidP="00FB0D0F">
      <w:pPr>
        <w:rPr>
          <w:b/>
          <w:bCs/>
          <w:sz w:val="26"/>
          <w:szCs w:val="26"/>
          <w:rtl/>
        </w:rPr>
      </w:pPr>
      <w:r>
        <w:rPr>
          <w:rFonts w:hint="cs"/>
          <w:sz w:val="26"/>
          <w:szCs w:val="26"/>
          <w:rtl/>
        </w:rPr>
        <w:tab/>
        <w:t xml:space="preserve">        </w:t>
      </w:r>
      <w:r w:rsidRPr="00741BCB">
        <w:rPr>
          <w:rFonts w:hint="cs"/>
          <w:b/>
          <w:bCs/>
          <w:sz w:val="26"/>
          <w:szCs w:val="26"/>
          <w:rtl/>
        </w:rPr>
        <w:t xml:space="preserve">... </w:t>
      </w:r>
    </w:p>
    <w:p w:rsidR="0010587D" w:rsidRDefault="00B55BBB" w:rsidP="00B55BBB">
      <w:pPr>
        <w:pStyle w:val="ac"/>
        <w:spacing w:line="360" w:lineRule="auto"/>
        <w:ind w:left="1134" w:right="567"/>
        <w:jc w:val="both"/>
        <w:rPr>
          <w:b/>
          <w:bCs/>
          <w:sz w:val="26"/>
          <w:szCs w:val="26"/>
          <w:rtl/>
        </w:rPr>
      </w:pPr>
      <w:r w:rsidRPr="00B55BBB">
        <w:rPr>
          <w:rFonts w:hint="cs"/>
          <w:b/>
          <w:bCs/>
          <w:sz w:val="26"/>
          <w:szCs w:val="26"/>
          <w:rtl/>
        </w:rPr>
        <w:t>סעיף 126(ב) לפקודה קובע כלל לפיו בחישוב ההכנסה החייבת של חברה לא תכלל 'הכנסה</w:t>
      </w:r>
      <w:r>
        <w:rPr>
          <w:rFonts w:hint="cs"/>
          <w:b/>
          <w:bCs/>
          <w:sz w:val="26"/>
          <w:szCs w:val="26"/>
          <w:rtl/>
        </w:rPr>
        <w:t xml:space="preserve"> מחלוקת רווחים או מדיבידנד שמקור</w:t>
      </w:r>
      <w:r w:rsidRPr="00B55BBB">
        <w:rPr>
          <w:rFonts w:hint="cs"/>
          <w:b/>
          <w:bCs/>
          <w:sz w:val="26"/>
          <w:szCs w:val="26"/>
          <w:rtl/>
        </w:rPr>
        <w:t>ם בהכנסות שהופקו או שנצמחו ב</w:t>
      </w:r>
      <w:r>
        <w:rPr>
          <w:rFonts w:hint="cs"/>
          <w:b/>
          <w:bCs/>
          <w:sz w:val="26"/>
          <w:szCs w:val="26"/>
          <w:rtl/>
        </w:rPr>
        <w:t>ישראל שנתקבלו במישרין או בע</w:t>
      </w:r>
      <w:r w:rsidRPr="00B55BBB">
        <w:rPr>
          <w:rFonts w:hint="cs"/>
          <w:b/>
          <w:bCs/>
          <w:sz w:val="26"/>
          <w:szCs w:val="26"/>
          <w:rtl/>
        </w:rPr>
        <w:t>ק</w:t>
      </w:r>
      <w:r>
        <w:rPr>
          <w:rFonts w:hint="cs"/>
          <w:b/>
          <w:bCs/>
          <w:sz w:val="26"/>
          <w:szCs w:val="26"/>
          <w:rtl/>
        </w:rPr>
        <w:t>י</w:t>
      </w:r>
      <w:r w:rsidRPr="00B55BBB">
        <w:rPr>
          <w:rFonts w:hint="cs"/>
          <w:b/>
          <w:bCs/>
          <w:sz w:val="26"/>
          <w:szCs w:val="26"/>
          <w:rtl/>
        </w:rPr>
        <w:t>פין' מחברה אחרת החייבת במס חברות</w:t>
      </w:r>
      <w:r>
        <w:rPr>
          <w:rFonts w:hint="cs"/>
          <w:b/>
          <w:bCs/>
          <w:sz w:val="26"/>
          <w:szCs w:val="26"/>
          <w:rtl/>
        </w:rPr>
        <w:t>.</w:t>
      </w:r>
      <w:r w:rsidR="002B4F3E">
        <w:rPr>
          <w:rFonts w:hint="cs"/>
          <w:b/>
          <w:bCs/>
          <w:sz w:val="26"/>
          <w:szCs w:val="26"/>
          <w:rtl/>
        </w:rPr>
        <w:t xml:space="preserve">  </w:t>
      </w:r>
    </w:p>
    <w:p w:rsidR="0010587D" w:rsidRDefault="0010587D" w:rsidP="00B55BBB">
      <w:pPr>
        <w:pStyle w:val="ac"/>
        <w:spacing w:line="360" w:lineRule="auto"/>
        <w:ind w:left="1134" w:right="567"/>
        <w:jc w:val="both"/>
        <w:rPr>
          <w:b/>
          <w:bCs/>
          <w:sz w:val="26"/>
          <w:szCs w:val="26"/>
          <w:rtl/>
        </w:rPr>
      </w:pPr>
      <w:r>
        <w:rPr>
          <w:rFonts w:hint="cs"/>
          <w:b/>
          <w:bCs/>
          <w:sz w:val="26"/>
          <w:szCs w:val="26"/>
          <w:rtl/>
        </w:rPr>
        <w:t>...</w:t>
      </w:r>
    </w:p>
    <w:p w:rsidR="00A40347" w:rsidRDefault="005510C9" w:rsidP="00B55BBB">
      <w:pPr>
        <w:pStyle w:val="ac"/>
        <w:spacing w:line="360" w:lineRule="auto"/>
        <w:ind w:left="1134" w:right="567"/>
        <w:jc w:val="both"/>
        <w:rPr>
          <w:b/>
          <w:bCs/>
          <w:sz w:val="26"/>
          <w:szCs w:val="26"/>
          <w:rtl/>
        </w:rPr>
      </w:pPr>
      <w:r>
        <w:rPr>
          <w:rFonts w:hint="cs"/>
          <w:b/>
          <w:bCs/>
          <w:sz w:val="26"/>
          <w:szCs w:val="26"/>
          <w:rtl/>
        </w:rPr>
        <w:t>טעמו של ההסדר האמור הוא בכך שהחיוב במס יוטל, כאמור, ממילא על בעלי המניות שיקבלו את הדיבידנד בסופה של שרשרת החברות ועל כן אין מקום להטיל חיוב במס על החברה המהווה אך את החוליה המקשרת בין החברה המחלקת לבין בעל המניות. על כן, ככלל, דיבידנד בין-חברתי לא ייכלל בגדרי 'ההכנסה חייבת' של החברה המקבלת...</w:t>
      </w:r>
    </w:p>
    <w:p w:rsidR="00B55BBB" w:rsidRDefault="00B55BBB" w:rsidP="00B55BBB">
      <w:pPr>
        <w:pStyle w:val="ac"/>
        <w:spacing w:line="360" w:lineRule="auto"/>
        <w:ind w:left="1134" w:right="567"/>
        <w:jc w:val="both"/>
        <w:rPr>
          <w:b/>
          <w:bCs/>
          <w:sz w:val="26"/>
          <w:szCs w:val="26"/>
          <w:rtl/>
        </w:rPr>
      </w:pPr>
      <w:r>
        <w:rPr>
          <w:rFonts w:hint="cs"/>
          <w:b/>
          <w:bCs/>
          <w:sz w:val="26"/>
          <w:szCs w:val="26"/>
          <w:rtl/>
        </w:rPr>
        <w:t>...</w:t>
      </w:r>
    </w:p>
    <w:p w:rsidR="00B55BBB" w:rsidRDefault="00B55BBB" w:rsidP="00B55BBB">
      <w:pPr>
        <w:pStyle w:val="ac"/>
        <w:spacing w:line="360" w:lineRule="auto"/>
        <w:ind w:left="1134" w:right="567"/>
        <w:jc w:val="both"/>
        <w:rPr>
          <w:b/>
          <w:bCs/>
          <w:sz w:val="26"/>
          <w:szCs w:val="26"/>
          <w:rtl/>
        </w:rPr>
      </w:pPr>
      <w:r>
        <w:rPr>
          <w:rFonts w:hint="cs"/>
          <w:b/>
          <w:bCs/>
          <w:sz w:val="26"/>
          <w:szCs w:val="26"/>
          <w:rtl/>
        </w:rPr>
        <w:lastRenderedPageBreak/>
        <w:t xml:space="preserve">המערערות סבורות כי המונח 'הכנסה' בסעיף 126(ב) אינו מתייחס אך ורק להכנסה שחויבה בפועל במס חברות, אלא די בכך שמדובר בדיבידנד שהתקבל מחבר-בני-אדם החייב, באופן עקרוני, במס חברות. אין </w:t>
      </w:r>
      <w:r w:rsidR="007F3DAE">
        <w:rPr>
          <w:rFonts w:hint="cs"/>
          <w:b/>
          <w:bCs/>
          <w:sz w:val="26"/>
          <w:szCs w:val="26"/>
          <w:rtl/>
        </w:rPr>
        <w:t>ד</w:t>
      </w:r>
      <w:r>
        <w:rPr>
          <w:rFonts w:hint="cs"/>
          <w:b/>
          <w:bCs/>
          <w:sz w:val="26"/>
          <w:szCs w:val="26"/>
          <w:rtl/>
        </w:rPr>
        <w:t>ע</w:t>
      </w:r>
      <w:r w:rsidR="007F3DAE">
        <w:rPr>
          <w:rFonts w:hint="cs"/>
          <w:b/>
          <w:bCs/>
          <w:sz w:val="26"/>
          <w:szCs w:val="26"/>
          <w:rtl/>
        </w:rPr>
        <w:t>ת</w:t>
      </w:r>
      <w:r>
        <w:rPr>
          <w:rFonts w:hint="cs"/>
          <w:b/>
          <w:bCs/>
          <w:sz w:val="26"/>
          <w:szCs w:val="26"/>
          <w:rtl/>
        </w:rPr>
        <w:t xml:space="preserve">י כדעתן. אבהיר. </w:t>
      </w:r>
    </w:p>
    <w:p w:rsidR="007F3DAE" w:rsidRDefault="007F3DAE" w:rsidP="00B55BBB">
      <w:pPr>
        <w:pStyle w:val="ac"/>
        <w:spacing w:line="360" w:lineRule="auto"/>
        <w:ind w:left="1134" w:right="567"/>
        <w:jc w:val="both"/>
        <w:rPr>
          <w:b/>
          <w:bCs/>
          <w:sz w:val="26"/>
          <w:szCs w:val="26"/>
          <w:rtl/>
        </w:rPr>
      </w:pPr>
      <w:r>
        <w:rPr>
          <w:rFonts w:hint="cs"/>
          <w:b/>
          <w:bCs/>
          <w:sz w:val="26"/>
          <w:szCs w:val="26"/>
          <w:rtl/>
        </w:rPr>
        <w:t>...</w:t>
      </w:r>
    </w:p>
    <w:p w:rsidR="007F3DAE" w:rsidRDefault="005510C9" w:rsidP="00A929E2">
      <w:pPr>
        <w:pStyle w:val="ac"/>
        <w:spacing w:line="360" w:lineRule="auto"/>
        <w:ind w:left="1134" w:right="567"/>
        <w:jc w:val="both"/>
        <w:rPr>
          <w:b/>
          <w:bCs/>
          <w:sz w:val="26"/>
          <w:szCs w:val="26"/>
          <w:rtl/>
        </w:rPr>
      </w:pPr>
      <w:r>
        <w:rPr>
          <w:rFonts w:hint="cs"/>
          <w:b/>
          <w:bCs/>
          <w:sz w:val="26"/>
          <w:szCs w:val="26"/>
          <w:rtl/>
        </w:rPr>
        <w:t>...</w:t>
      </w:r>
      <w:r w:rsidR="007F3DAE">
        <w:rPr>
          <w:rFonts w:hint="cs"/>
          <w:b/>
          <w:bCs/>
          <w:sz w:val="26"/>
          <w:szCs w:val="26"/>
          <w:rtl/>
        </w:rPr>
        <w:t xml:space="preserve"> ככלל, על פי הוראות הפקודה, דיבידנדים שמקורם ברווחי שערוך אינם בג</w:t>
      </w:r>
      <w:r>
        <w:rPr>
          <w:rFonts w:hint="cs"/>
          <w:b/>
          <w:bCs/>
          <w:sz w:val="26"/>
          <w:szCs w:val="26"/>
          <w:rtl/>
        </w:rPr>
        <w:t>דר רווחים שמקור</w:t>
      </w:r>
      <w:r w:rsidR="007F3DAE">
        <w:rPr>
          <w:rFonts w:hint="cs"/>
          <w:b/>
          <w:bCs/>
          <w:sz w:val="26"/>
          <w:szCs w:val="26"/>
          <w:rtl/>
        </w:rPr>
        <w:t>ם ב'הכנסות'. כפועל יוצא מכך, גם כאשר הדיבידנד הוא דיבידנד בין-חברתי, הדיבידנד מרווחי שערוך אינו מוחרג מהכנסתה החייבת במס של החברה מקבלת הדיבידנד, בהתאם לסעיף 126(ב) לפקודה. שעה שעל פי עיקרון  המימוש, החברה המחלקת אינה ממוסה בגין עליית ערכם של נכסיה (על אף שחילקה דיבידנדים בגין עליית הערך), אין מקום לפטור את החברה המקבלת מתשלום מס בגין הכנסותיה מדיבידנדים המחולקים לה על ידי החברה המחלקת שמקורם ברווחים שטרם מוסו. לשון אחרת, מכיון שאין מיסוי ברמת החברה המחלקת, לא חל ההסדר הקבוע בסעיף 126(ב) הנועד כאמור למנוע אפשרות של כפל מס, כמפורט לעיל.</w:t>
      </w:r>
    </w:p>
    <w:p w:rsidR="007F3DAE" w:rsidRDefault="007F3DAE" w:rsidP="00B55BBB">
      <w:pPr>
        <w:pStyle w:val="ac"/>
        <w:spacing w:line="360" w:lineRule="auto"/>
        <w:ind w:left="1134" w:right="567"/>
        <w:jc w:val="both"/>
        <w:rPr>
          <w:b/>
          <w:bCs/>
          <w:sz w:val="26"/>
          <w:szCs w:val="26"/>
          <w:rtl/>
        </w:rPr>
      </w:pPr>
      <w:r>
        <w:rPr>
          <w:rFonts w:hint="cs"/>
          <w:b/>
          <w:bCs/>
          <w:sz w:val="26"/>
          <w:szCs w:val="26"/>
          <w:rtl/>
        </w:rPr>
        <w:t>...</w:t>
      </w:r>
    </w:p>
    <w:p w:rsidR="007F3DAE" w:rsidRPr="005510C9" w:rsidRDefault="00196C48" w:rsidP="00196C48">
      <w:pPr>
        <w:pStyle w:val="ac"/>
        <w:spacing w:line="360" w:lineRule="auto"/>
        <w:ind w:left="1134" w:right="567"/>
        <w:jc w:val="both"/>
        <w:rPr>
          <w:b/>
          <w:bCs/>
          <w:sz w:val="26"/>
          <w:szCs w:val="26"/>
          <w:rtl/>
        </w:rPr>
      </w:pPr>
      <w:r>
        <w:rPr>
          <w:rFonts w:hint="cs"/>
          <w:b/>
          <w:bCs/>
          <w:sz w:val="26"/>
          <w:szCs w:val="26"/>
          <w:rtl/>
        </w:rPr>
        <w:t>על פי פרשנות המוצעת, ה</w:t>
      </w:r>
      <w:r w:rsidRPr="005510C9">
        <w:rPr>
          <w:rFonts w:hint="cs"/>
          <w:b/>
          <w:bCs/>
          <w:sz w:val="26"/>
          <w:szCs w:val="26"/>
          <w:rtl/>
        </w:rPr>
        <w:t>חברות מקבלות הדיבידנדים (ובהמשך בעלי המניות היחידים) יוכלו 'לחלץ' את הרווחים שמקורם בעליית שווי הנכסים, בלא שהחברות המחלקות יידרשו לממש את הנכסים בפועל ולשלם מס רווח הון בגין עליית הערך. החברות המקבלות, מנגד, לא יידרשו, לשיטת המערערות, לשלם מס בגין הדיבידנדים בשל תחולת סעיף 126(ב) כאמור. פשיטא כי העובדה שהרווחים (שמקורם בעליית ערכם של נכסים) זמינים לבעלי המניות מבלי ששולם מס בגין אותה עליית הערך, מפחיתה באופן משמעותי את 'התמריץ' של החברות המחלקות לממשם. זאת, שכן רק במועד המימוש, לשיטת המערערות</w:t>
      </w:r>
      <w:r w:rsidR="003A30C5">
        <w:rPr>
          <w:rFonts w:hint="cs"/>
          <w:b/>
          <w:bCs/>
          <w:sz w:val="26"/>
          <w:szCs w:val="26"/>
          <w:rtl/>
        </w:rPr>
        <w:t>,</w:t>
      </w:r>
      <w:r w:rsidRPr="005510C9">
        <w:rPr>
          <w:rFonts w:hint="cs"/>
          <w:b/>
          <w:bCs/>
          <w:sz w:val="26"/>
          <w:szCs w:val="26"/>
          <w:rtl/>
        </w:rPr>
        <w:t xml:space="preserve"> ישולם מס בגין עליית שווי הנכסים. במובן זה, טענתן של  המערערות כי מדובר רק ב'הפרשי עיתוי' והמס ברמת החברה המחלקת ישולם במועד מאוחר יותר (מעבר לעובדה שאין כל בטוחה שכך יקרה), אין בה ממש."</w:t>
      </w:r>
    </w:p>
    <w:p w:rsidR="00E557FE" w:rsidRPr="00E557FE" w:rsidRDefault="00E557FE" w:rsidP="005510C9">
      <w:pPr>
        <w:pStyle w:val="ac"/>
        <w:spacing w:line="360" w:lineRule="auto"/>
        <w:ind w:left="1134" w:right="567"/>
        <w:jc w:val="both"/>
        <w:rPr>
          <w:sz w:val="26"/>
          <w:szCs w:val="26"/>
          <w:rtl/>
        </w:rPr>
      </w:pPr>
      <w:r w:rsidRPr="00E557FE">
        <w:rPr>
          <w:rFonts w:hint="cs"/>
          <w:sz w:val="26"/>
          <w:szCs w:val="26"/>
          <w:rtl/>
        </w:rPr>
        <w:t xml:space="preserve">(מתוך סעיפים </w:t>
      </w:r>
      <w:r w:rsidR="005510C9">
        <w:rPr>
          <w:rFonts w:hint="cs"/>
          <w:sz w:val="26"/>
          <w:szCs w:val="26"/>
          <w:rtl/>
        </w:rPr>
        <w:t>27, 28, 40 ו- 42 לפסק דינו של כבוד השופט</w:t>
      </w:r>
      <w:r w:rsidRPr="00E557FE">
        <w:rPr>
          <w:rFonts w:hint="cs"/>
          <w:sz w:val="26"/>
          <w:szCs w:val="26"/>
          <w:rtl/>
        </w:rPr>
        <w:t xml:space="preserve"> מינץ)</w:t>
      </w:r>
    </w:p>
    <w:p w:rsidR="00A40347" w:rsidRPr="00B55BBB" w:rsidRDefault="007F3DAE" w:rsidP="00FB0D0F">
      <w:pPr>
        <w:rPr>
          <w:b/>
          <w:bCs/>
          <w:sz w:val="26"/>
          <w:szCs w:val="26"/>
          <w:rtl/>
        </w:rPr>
      </w:pPr>
      <w:r>
        <w:rPr>
          <w:b/>
          <w:bCs/>
          <w:sz w:val="26"/>
          <w:szCs w:val="26"/>
          <w:rtl/>
        </w:rPr>
        <w:tab/>
      </w:r>
    </w:p>
    <w:p w:rsidR="00FB0D0F" w:rsidRDefault="00FB0D0F" w:rsidP="00FB0D0F">
      <w:pPr>
        <w:pStyle w:val="ac"/>
        <w:spacing w:line="360" w:lineRule="auto"/>
        <w:ind w:left="397" w:right="-454"/>
        <w:jc w:val="both"/>
        <w:rPr>
          <w:sz w:val="26"/>
          <w:szCs w:val="26"/>
          <w:rtl/>
        </w:rPr>
      </w:pPr>
    </w:p>
    <w:p w:rsidR="00360D8F" w:rsidRDefault="005510C9" w:rsidP="0006626F">
      <w:pPr>
        <w:pStyle w:val="ac"/>
        <w:numPr>
          <w:ilvl w:val="0"/>
          <w:numId w:val="2"/>
        </w:numPr>
        <w:spacing w:line="360" w:lineRule="auto"/>
        <w:ind w:left="397" w:right="-454"/>
        <w:jc w:val="both"/>
        <w:rPr>
          <w:sz w:val="26"/>
          <w:szCs w:val="26"/>
        </w:rPr>
      </w:pPr>
      <w:r w:rsidRPr="008B2B38">
        <w:rPr>
          <w:rFonts w:hint="cs"/>
          <w:sz w:val="26"/>
          <w:szCs w:val="26"/>
          <w:rtl/>
        </w:rPr>
        <w:lastRenderedPageBreak/>
        <w:t>ניכר כי הנמקה זו של בית המשפט העליון</w:t>
      </w:r>
      <w:r w:rsidR="00FB0D0F" w:rsidRPr="008B2B38">
        <w:rPr>
          <w:rFonts w:hint="cs"/>
          <w:sz w:val="26"/>
          <w:szCs w:val="26"/>
          <w:rtl/>
        </w:rPr>
        <w:t xml:space="preserve"> מבוססת הן על</w:t>
      </w:r>
      <w:r w:rsidR="00E557FE" w:rsidRPr="008B2B38">
        <w:rPr>
          <w:rFonts w:hint="cs"/>
          <w:sz w:val="26"/>
          <w:szCs w:val="26"/>
          <w:rtl/>
        </w:rPr>
        <w:t xml:space="preserve"> לשון הפקודה (</w:t>
      </w:r>
      <w:r w:rsidRPr="008B2B38">
        <w:rPr>
          <w:rFonts w:hint="cs"/>
          <w:sz w:val="26"/>
          <w:szCs w:val="26"/>
          <w:rtl/>
        </w:rPr>
        <w:t xml:space="preserve">המילים </w:t>
      </w:r>
      <w:r w:rsidR="00E557FE" w:rsidRPr="008B2B38">
        <w:rPr>
          <w:rFonts w:hint="cs"/>
          <w:sz w:val="26"/>
          <w:szCs w:val="26"/>
          <w:rtl/>
        </w:rPr>
        <w:t>"שמקורם בהכנסות")</w:t>
      </w:r>
      <w:r w:rsidR="00FB0D0F" w:rsidRPr="008B2B38">
        <w:rPr>
          <w:rFonts w:hint="cs"/>
          <w:sz w:val="26"/>
          <w:szCs w:val="26"/>
          <w:rtl/>
        </w:rPr>
        <w:t xml:space="preserve"> </w:t>
      </w:r>
      <w:r w:rsidR="00E557FE" w:rsidRPr="008B2B38">
        <w:rPr>
          <w:rFonts w:hint="cs"/>
          <w:sz w:val="26"/>
          <w:szCs w:val="26"/>
          <w:rtl/>
        </w:rPr>
        <w:t>ו</w:t>
      </w:r>
      <w:r w:rsidR="00FB0D0F" w:rsidRPr="008B2B38">
        <w:rPr>
          <w:rFonts w:hint="cs"/>
          <w:sz w:val="26"/>
          <w:szCs w:val="26"/>
          <w:rtl/>
        </w:rPr>
        <w:t>הן על ניתוח מהו</w:t>
      </w:r>
      <w:r w:rsidR="00B05C7F" w:rsidRPr="008B2B38">
        <w:rPr>
          <w:rFonts w:hint="cs"/>
          <w:sz w:val="26"/>
          <w:szCs w:val="26"/>
          <w:rtl/>
        </w:rPr>
        <w:t>ת</w:t>
      </w:r>
      <w:r w:rsidR="00FB0D0F" w:rsidRPr="008B2B38">
        <w:rPr>
          <w:rFonts w:hint="cs"/>
          <w:sz w:val="26"/>
          <w:szCs w:val="26"/>
          <w:rtl/>
        </w:rPr>
        <w:t>י של תכלית סעיף 126(ב)</w:t>
      </w:r>
      <w:r w:rsidR="003A30C5" w:rsidRPr="008B2B38">
        <w:rPr>
          <w:rFonts w:hint="cs"/>
          <w:sz w:val="26"/>
          <w:szCs w:val="26"/>
          <w:rtl/>
        </w:rPr>
        <w:t xml:space="preserve"> (ויודגש כי בסעיף 126(ב) לא נאמר, למשל, "הכנסה חייבת" או "רווחים" או "עודפים")</w:t>
      </w:r>
      <w:r w:rsidR="00FB0D0F" w:rsidRPr="008B2B38">
        <w:rPr>
          <w:rFonts w:hint="cs"/>
          <w:sz w:val="26"/>
          <w:szCs w:val="26"/>
          <w:rtl/>
        </w:rPr>
        <w:t xml:space="preserve">. </w:t>
      </w:r>
      <w:r w:rsidR="00A845D3" w:rsidRPr="008B2B38">
        <w:rPr>
          <w:rFonts w:hint="cs"/>
          <w:sz w:val="26"/>
          <w:szCs w:val="26"/>
          <w:rtl/>
        </w:rPr>
        <w:t>במקרה הנוכחי, אין חולק כי תקבולי אבנת מהשכרת שטחים וממת</w:t>
      </w:r>
      <w:r w:rsidR="003A30C5" w:rsidRPr="008B2B38">
        <w:rPr>
          <w:rFonts w:hint="cs"/>
          <w:sz w:val="26"/>
          <w:szCs w:val="26"/>
          <w:rtl/>
        </w:rPr>
        <w:t>ן שירותי ניהול היו בבחינת "הכנסות</w:t>
      </w:r>
      <w:r w:rsidR="00A845D3" w:rsidRPr="008B2B38">
        <w:rPr>
          <w:rFonts w:hint="cs"/>
          <w:sz w:val="26"/>
          <w:szCs w:val="26"/>
          <w:rtl/>
        </w:rPr>
        <w:t>", כמשמעות מונח זה בפקודה. לדעת המערערת</w:t>
      </w:r>
      <w:r w:rsidR="008B2B38">
        <w:rPr>
          <w:rFonts w:hint="cs"/>
          <w:sz w:val="26"/>
          <w:szCs w:val="26"/>
          <w:rtl/>
        </w:rPr>
        <w:t>, די בכך כדי להביא לקבלת הערעור</w:t>
      </w:r>
      <w:r w:rsidR="00360D8F">
        <w:rPr>
          <w:rFonts w:hint="cs"/>
          <w:sz w:val="26"/>
          <w:szCs w:val="26"/>
          <w:rtl/>
        </w:rPr>
        <w:t xml:space="preserve">. </w:t>
      </w:r>
    </w:p>
    <w:p w:rsidR="005A6526" w:rsidRDefault="005A6526" w:rsidP="005A6526">
      <w:pPr>
        <w:pStyle w:val="ac"/>
        <w:spacing w:line="360" w:lineRule="auto"/>
        <w:ind w:left="397" w:right="-454"/>
        <w:jc w:val="both"/>
        <w:rPr>
          <w:sz w:val="26"/>
          <w:szCs w:val="26"/>
        </w:rPr>
      </w:pPr>
    </w:p>
    <w:p w:rsidR="00A845D3" w:rsidRPr="00360D8F" w:rsidRDefault="00360D8F" w:rsidP="00360D8F">
      <w:pPr>
        <w:pStyle w:val="ac"/>
        <w:spacing w:line="360" w:lineRule="auto"/>
        <w:ind w:left="397" w:right="-454"/>
        <w:jc w:val="both"/>
        <w:rPr>
          <w:sz w:val="26"/>
          <w:szCs w:val="26"/>
          <w:rtl/>
        </w:rPr>
      </w:pPr>
      <w:r w:rsidRPr="00360D8F">
        <w:rPr>
          <w:rFonts w:hint="cs"/>
          <w:sz w:val="26"/>
          <w:szCs w:val="26"/>
          <w:rtl/>
        </w:rPr>
        <w:t>ובכ</w:t>
      </w:r>
      <w:r w:rsidR="001F1FFE" w:rsidRPr="00360D8F">
        <w:rPr>
          <w:rFonts w:hint="cs"/>
          <w:sz w:val="26"/>
          <w:szCs w:val="26"/>
          <w:rtl/>
        </w:rPr>
        <w:t xml:space="preserve">ן הדגש בעניין </w:t>
      </w:r>
      <w:r w:rsidR="001F1FFE" w:rsidRPr="00360D8F">
        <w:rPr>
          <w:rFonts w:hint="cs"/>
          <w:b/>
          <w:bCs/>
          <w:sz w:val="26"/>
          <w:szCs w:val="26"/>
          <w:rtl/>
        </w:rPr>
        <w:t>קניון דרורים</w:t>
      </w:r>
      <w:r w:rsidR="001F1FFE" w:rsidRPr="00360D8F">
        <w:rPr>
          <w:rFonts w:hint="cs"/>
          <w:sz w:val="26"/>
          <w:szCs w:val="26"/>
          <w:rtl/>
        </w:rPr>
        <w:t xml:space="preserve"> הושם על שאלת קיומה של "הכנסה" </w:t>
      </w:r>
      <w:r w:rsidR="00DB2690">
        <w:rPr>
          <w:rFonts w:hint="cs"/>
          <w:sz w:val="26"/>
          <w:szCs w:val="26"/>
          <w:rtl/>
        </w:rPr>
        <w:t>כמקור לחלוקה.</w:t>
      </w:r>
      <w:r w:rsidR="008B2B38" w:rsidRPr="00360D8F">
        <w:rPr>
          <w:rFonts w:hint="cs"/>
          <w:sz w:val="26"/>
          <w:szCs w:val="26"/>
          <w:rtl/>
        </w:rPr>
        <w:t xml:space="preserve"> עם זאת</w:t>
      </w:r>
      <w:r w:rsidR="00DB2690">
        <w:rPr>
          <w:rFonts w:hint="cs"/>
          <w:sz w:val="26"/>
          <w:szCs w:val="26"/>
          <w:rtl/>
        </w:rPr>
        <w:t>,</w:t>
      </w:r>
      <w:r w:rsidR="008B2B38" w:rsidRPr="00360D8F">
        <w:rPr>
          <w:rFonts w:hint="cs"/>
          <w:sz w:val="26"/>
          <w:szCs w:val="26"/>
          <w:rtl/>
        </w:rPr>
        <w:t xml:space="preserve"> </w:t>
      </w:r>
      <w:r w:rsidR="00A845D3" w:rsidRPr="00360D8F">
        <w:rPr>
          <w:rFonts w:hint="cs"/>
          <w:sz w:val="26"/>
          <w:szCs w:val="26"/>
          <w:rtl/>
        </w:rPr>
        <w:t xml:space="preserve">לטעמי </w:t>
      </w:r>
      <w:r w:rsidR="00961651">
        <w:rPr>
          <w:rFonts w:hint="cs"/>
          <w:sz w:val="26"/>
          <w:szCs w:val="26"/>
          <w:rtl/>
        </w:rPr>
        <w:t xml:space="preserve">במקרה דנן </w:t>
      </w:r>
      <w:r w:rsidR="00A845D3" w:rsidRPr="00360D8F">
        <w:rPr>
          <w:rFonts w:hint="cs"/>
          <w:sz w:val="26"/>
          <w:szCs w:val="26"/>
          <w:rtl/>
        </w:rPr>
        <w:t xml:space="preserve">אין לעצור בנקודה זו ועלינו להמשיך ולבחון היבטים נוספים: הרי בעניין </w:t>
      </w:r>
      <w:r w:rsidR="00A845D3" w:rsidRPr="00360D8F">
        <w:rPr>
          <w:rFonts w:hint="cs"/>
          <w:b/>
          <w:bCs/>
          <w:sz w:val="26"/>
          <w:szCs w:val="26"/>
          <w:rtl/>
        </w:rPr>
        <w:t>קניון דרורים</w:t>
      </w:r>
      <w:r w:rsidR="00961651">
        <w:rPr>
          <w:rFonts w:hint="cs"/>
          <w:sz w:val="26"/>
          <w:szCs w:val="26"/>
          <w:rtl/>
        </w:rPr>
        <w:t xml:space="preserve"> </w:t>
      </w:r>
      <w:r w:rsidR="00A845D3" w:rsidRPr="00360D8F">
        <w:rPr>
          <w:rFonts w:hint="cs"/>
          <w:sz w:val="26"/>
          <w:szCs w:val="26"/>
          <w:rtl/>
        </w:rPr>
        <w:t>בית המשפט העליון</w:t>
      </w:r>
      <w:r w:rsidR="00961651">
        <w:rPr>
          <w:rFonts w:hint="cs"/>
          <w:sz w:val="26"/>
          <w:szCs w:val="26"/>
          <w:rtl/>
        </w:rPr>
        <w:t xml:space="preserve"> לא נדרש לדון במצב בו</w:t>
      </w:r>
      <w:r w:rsidR="00A845D3" w:rsidRPr="00360D8F">
        <w:rPr>
          <w:rFonts w:hint="cs"/>
          <w:sz w:val="26"/>
          <w:szCs w:val="26"/>
          <w:rtl/>
        </w:rPr>
        <w:t xml:space="preserve"> קיימת</w:t>
      </w:r>
      <w:r w:rsidR="00961651">
        <w:rPr>
          <w:rFonts w:hint="cs"/>
          <w:sz w:val="26"/>
          <w:szCs w:val="26"/>
          <w:rtl/>
        </w:rPr>
        <w:t xml:space="preserve"> אמנם</w:t>
      </w:r>
      <w:r w:rsidR="00A845D3" w:rsidRPr="00360D8F">
        <w:rPr>
          <w:rFonts w:hint="cs"/>
          <w:sz w:val="26"/>
          <w:szCs w:val="26"/>
          <w:rtl/>
        </w:rPr>
        <w:t xml:space="preserve"> "הכנס</w:t>
      </w:r>
      <w:r w:rsidR="0006511E" w:rsidRPr="00360D8F">
        <w:rPr>
          <w:rFonts w:hint="cs"/>
          <w:sz w:val="26"/>
          <w:szCs w:val="26"/>
          <w:rtl/>
        </w:rPr>
        <w:t xml:space="preserve">ה" בידי החברה המחלקת אך בנוסף קיים פער בין הרווח החשבונאי ובין ההכנסה החייבת, כמו במקרה של אבנת. </w:t>
      </w:r>
    </w:p>
    <w:p w:rsidR="0006511E" w:rsidRDefault="0006511E" w:rsidP="0006511E">
      <w:pPr>
        <w:pStyle w:val="ac"/>
        <w:spacing w:line="360" w:lineRule="auto"/>
        <w:ind w:left="397" w:right="-454"/>
        <w:jc w:val="both"/>
        <w:rPr>
          <w:sz w:val="26"/>
          <w:szCs w:val="26"/>
          <w:rtl/>
        </w:rPr>
      </w:pPr>
    </w:p>
    <w:p w:rsidR="0006511E" w:rsidRPr="0006511E" w:rsidRDefault="0006511E" w:rsidP="0006511E">
      <w:pPr>
        <w:pStyle w:val="ac"/>
        <w:spacing w:line="360" w:lineRule="auto"/>
        <w:ind w:left="397" w:right="-454"/>
        <w:jc w:val="both"/>
        <w:rPr>
          <w:b/>
          <w:bCs/>
          <w:sz w:val="26"/>
          <w:szCs w:val="26"/>
          <w:u w:val="single"/>
          <w:rtl/>
        </w:rPr>
      </w:pPr>
      <w:r>
        <w:rPr>
          <w:rFonts w:hint="cs"/>
          <w:b/>
          <w:bCs/>
          <w:sz w:val="26"/>
          <w:szCs w:val="26"/>
          <w:u w:val="single"/>
          <w:rtl/>
        </w:rPr>
        <w:t>"מחבר בני-אדם אחר החייב במס חברות"</w:t>
      </w:r>
    </w:p>
    <w:p w:rsidR="00F91BB5" w:rsidRDefault="0006511E" w:rsidP="0006511E">
      <w:pPr>
        <w:pStyle w:val="ac"/>
        <w:numPr>
          <w:ilvl w:val="0"/>
          <w:numId w:val="2"/>
        </w:numPr>
        <w:spacing w:line="360" w:lineRule="auto"/>
        <w:ind w:left="397" w:right="-454"/>
        <w:jc w:val="both"/>
        <w:rPr>
          <w:sz w:val="26"/>
          <w:szCs w:val="26"/>
        </w:rPr>
      </w:pPr>
      <w:r>
        <w:rPr>
          <w:rFonts w:hint="cs"/>
          <w:sz w:val="26"/>
          <w:szCs w:val="26"/>
          <w:rtl/>
        </w:rPr>
        <w:t xml:space="preserve">כמצוטט לעיל, בעניין </w:t>
      </w:r>
      <w:r w:rsidRPr="00571925">
        <w:rPr>
          <w:rFonts w:hint="cs"/>
          <w:b/>
          <w:bCs/>
          <w:sz w:val="26"/>
          <w:szCs w:val="26"/>
          <w:rtl/>
        </w:rPr>
        <w:t>קניון דרורים</w:t>
      </w:r>
      <w:r>
        <w:rPr>
          <w:rFonts w:hint="cs"/>
          <w:sz w:val="26"/>
          <w:szCs w:val="26"/>
          <w:rtl/>
        </w:rPr>
        <w:t xml:space="preserve"> כבוד השופט מינץ גרס כי</w:t>
      </w:r>
      <w:r w:rsidR="00F91BB5">
        <w:rPr>
          <w:rFonts w:hint="cs"/>
          <w:sz w:val="26"/>
          <w:szCs w:val="26"/>
          <w:rtl/>
        </w:rPr>
        <w:t>:</w:t>
      </w:r>
      <w:r>
        <w:rPr>
          <w:rFonts w:hint="cs"/>
          <w:sz w:val="26"/>
          <w:szCs w:val="26"/>
          <w:rtl/>
        </w:rPr>
        <w:t xml:space="preserve"> </w:t>
      </w:r>
    </w:p>
    <w:p w:rsidR="00F91BB5" w:rsidRDefault="00F91BB5" w:rsidP="00F91BB5">
      <w:pPr>
        <w:pStyle w:val="ac"/>
        <w:spacing w:line="360" w:lineRule="auto"/>
        <w:ind w:left="397" w:right="-454"/>
        <w:jc w:val="both"/>
        <w:rPr>
          <w:sz w:val="26"/>
          <w:szCs w:val="26"/>
        </w:rPr>
      </w:pPr>
    </w:p>
    <w:p w:rsidR="00F91BB5" w:rsidRDefault="0006511E" w:rsidP="00F91BB5">
      <w:pPr>
        <w:pStyle w:val="ac"/>
        <w:spacing w:line="360" w:lineRule="auto"/>
        <w:ind w:left="1134" w:right="567"/>
        <w:jc w:val="both"/>
        <w:rPr>
          <w:sz w:val="26"/>
          <w:szCs w:val="26"/>
          <w:rtl/>
        </w:rPr>
      </w:pPr>
      <w:r w:rsidRPr="0006511E">
        <w:rPr>
          <w:rFonts w:hint="cs"/>
          <w:b/>
          <w:bCs/>
          <w:sz w:val="26"/>
          <w:szCs w:val="26"/>
          <w:rtl/>
        </w:rPr>
        <w:t>"</w:t>
      </w:r>
      <w:r>
        <w:rPr>
          <w:rFonts w:hint="cs"/>
          <w:b/>
          <w:bCs/>
          <w:sz w:val="26"/>
          <w:szCs w:val="26"/>
          <w:rtl/>
        </w:rPr>
        <w:t>... אין</w:t>
      </w:r>
      <w:r w:rsidR="00F91BB5">
        <w:rPr>
          <w:rFonts w:hint="cs"/>
          <w:b/>
          <w:bCs/>
          <w:sz w:val="26"/>
          <w:szCs w:val="26"/>
          <w:rtl/>
        </w:rPr>
        <w:t xml:space="preserve"> </w:t>
      </w:r>
      <w:r>
        <w:rPr>
          <w:rFonts w:hint="cs"/>
          <w:b/>
          <w:bCs/>
          <w:sz w:val="26"/>
          <w:szCs w:val="26"/>
          <w:rtl/>
        </w:rPr>
        <w:t>מקום לפטור את החברה המקבלת מתשלום מס בגין הכנסותיה מדיבידנדים המחולקים לה על ידי החברה המחלקת שמקורם ברווחים שטרם  מוסו. לשון אחרת, מכיוון שאין מיסוי ברמת החברה המחלקת, לא חל ההסדר הקבוע בסעיף 126(ב)</w:t>
      </w:r>
      <w:r w:rsidR="00F91BB5">
        <w:rPr>
          <w:rFonts w:hint="cs"/>
          <w:b/>
          <w:bCs/>
          <w:sz w:val="26"/>
          <w:szCs w:val="26"/>
          <w:rtl/>
        </w:rPr>
        <w:t xml:space="preserve"> הנו</w:t>
      </w:r>
      <w:r>
        <w:rPr>
          <w:rFonts w:hint="cs"/>
          <w:b/>
          <w:bCs/>
          <w:sz w:val="26"/>
          <w:szCs w:val="26"/>
          <w:rtl/>
        </w:rPr>
        <w:t>ע</w:t>
      </w:r>
      <w:r w:rsidR="00F91BB5">
        <w:rPr>
          <w:rFonts w:hint="cs"/>
          <w:b/>
          <w:bCs/>
          <w:sz w:val="26"/>
          <w:szCs w:val="26"/>
          <w:rtl/>
        </w:rPr>
        <w:t>ד</w:t>
      </w:r>
      <w:r>
        <w:rPr>
          <w:rFonts w:hint="cs"/>
          <w:b/>
          <w:bCs/>
          <w:sz w:val="26"/>
          <w:szCs w:val="26"/>
          <w:rtl/>
        </w:rPr>
        <w:t xml:space="preserve"> כאמור למנוע אפשרות של כפל מס..." </w:t>
      </w:r>
    </w:p>
    <w:p w:rsidR="00731CB6" w:rsidRDefault="0006511E" w:rsidP="00F91BB5">
      <w:pPr>
        <w:pStyle w:val="ac"/>
        <w:spacing w:line="360" w:lineRule="auto"/>
        <w:ind w:left="1134" w:right="567"/>
        <w:jc w:val="both"/>
        <w:rPr>
          <w:sz w:val="26"/>
          <w:szCs w:val="26"/>
          <w:rtl/>
        </w:rPr>
      </w:pPr>
      <w:r w:rsidRPr="00712404">
        <w:rPr>
          <w:rFonts w:hint="cs"/>
          <w:sz w:val="26"/>
          <w:szCs w:val="26"/>
          <w:rtl/>
        </w:rPr>
        <w:t>(מתוך סעיף 40 לפסק הדין)</w:t>
      </w:r>
      <w:r w:rsidR="00712404">
        <w:rPr>
          <w:rFonts w:hint="cs"/>
          <w:sz w:val="26"/>
          <w:szCs w:val="26"/>
          <w:rtl/>
        </w:rPr>
        <w:t>.</w:t>
      </w:r>
    </w:p>
    <w:p w:rsidR="00F91BB5" w:rsidRDefault="00F91BB5" w:rsidP="00F91BB5">
      <w:pPr>
        <w:pStyle w:val="ac"/>
        <w:spacing w:line="360" w:lineRule="auto"/>
        <w:ind w:left="1134" w:right="567"/>
        <w:jc w:val="both"/>
        <w:rPr>
          <w:sz w:val="26"/>
          <w:szCs w:val="26"/>
          <w:rtl/>
        </w:rPr>
      </w:pPr>
    </w:p>
    <w:p w:rsidR="00F91BB5" w:rsidRPr="004C53F0" w:rsidRDefault="00F91BB5" w:rsidP="004C53F0">
      <w:pPr>
        <w:pStyle w:val="ac"/>
        <w:spacing w:line="360" w:lineRule="auto"/>
        <w:ind w:left="397" w:right="-454"/>
        <w:jc w:val="both"/>
        <w:rPr>
          <w:sz w:val="26"/>
          <w:szCs w:val="26"/>
          <w:rtl/>
        </w:rPr>
      </w:pPr>
      <w:r>
        <w:rPr>
          <w:rFonts w:hint="cs"/>
          <w:sz w:val="26"/>
          <w:szCs w:val="26"/>
          <w:rtl/>
        </w:rPr>
        <w:t>ואכן סעיף 126(ב) מציב כתנאי כי החברה המחלקת תהיה חבר בני</w:t>
      </w:r>
      <w:r w:rsidR="00595A49">
        <w:rPr>
          <w:rFonts w:hint="cs"/>
          <w:sz w:val="26"/>
          <w:szCs w:val="26"/>
          <w:rtl/>
        </w:rPr>
        <w:t xml:space="preserve"> אדם "החייב במס חברות". על פי הפש</w:t>
      </w:r>
      <w:r>
        <w:rPr>
          <w:rFonts w:hint="cs"/>
          <w:sz w:val="26"/>
          <w:szCs w:val="26"/>
          <w:rtl/>
        </w:rPr>
        <w:t xml:space="preserve">ט, </w:t>
      </w:r>
      <w:r w:rsidRPr="00595A49">
        <w:rPr>
          <w:rFonts w:hint="cs"/>
          <w:b/>
          <w:bCs/>
          <w:sz w:val="26"/>
          <w:szCs w:val="26"/>
          <w:rtl/>
        </w:rPr>
        <w:t>חבר בני האדם</w:t>
      </w:r>
      <w:r>
        <w:rPr>
          <w:rFonts w:hint="cs"/>
          <w:sz w:val="26"/>
          <w:szCs w:val="26"/>
          <w:rtl/>
        </w:rPr>
        <w:t xml:space="preserve"> צריך להיות "חייב במס", ולא "ההכנסות" שמהוות את המקור לדיבידנד המחולק</w:t>
      </w:r>
      <w:r w:rsidR="00595A49">
        <w:rPr>
          <w:rFonts w:hint="cs"/>
          <w:sz w:val="26"/>
          <w:szCs w:val="26"/>
          <w:rtl/>
        </w:rPr>
        <w:t>.</w:t>
      </w:r>
      <w:r>
        <w:rPr>
          <w:rFonts w:hint="cs"/>
          <w:sz w:val="26"/>
          <w:szCs w:val="26"/>
          <w:rtl/>
        </w:rPr>
        <w:t xml:space="preserve"> על רקע זה הערתי בפסק דין </w:t>
      </w:r>
      <w:r>
        <w:rPr>
          <w:rFonts w:hint="cs"/>
          <w:b/>
          <w:bCs/>
          <w:sz w:val="26"/>
          <w:szCs w:val="26"/>
          <w:rtl/>
        </w:rPr>
        <w:t xml:space="preserve">אורון </w:t>
      </w:r>
      <w:r w:rsidR="004C53F0">
        <w:rPr>
          <w:rFonts w:hint="cs"/>
          <w:sz w:val="26"/>
          <w:szCs w:val="26"/>
          <w:rtl/>
        </w:rPr>
        <w:t>במחוזי  כי התנאי האמור נו</w:t>
      </w:r>
      <w:r>
        <w:rPr>
          <w:rFonts w:hint="cs"/>
          <w:sz w:val="26"/>
          <w:szCs w:val="26"/>
          <w:rtl/>
        </w:rPr>
        <w:t>ע</w:t>
      </w:r>
      <w:r w:rsidR="004C53F0">
        <w:rPr>
          <w:rFonts w:hint="cs"/>
          <w:sz w:val="26"/>
          <w:szCs w:val="26"/>
          <w:rtl/>
        </w:rPr>
        <w:t>ד</w:t>
      </w:r>
      <w:r>
        <w:rPr>
          <w:rFonts w:hint="cs"/>
          <w:sz w:val="26"/>
          <w:szCs w:val="26"/>
          <w:rtl/>
        </w:rPr>
        <w:t xml:space="preserve"> </w:t>
      </w:r>
      <w:r>
        <w:rPr>
          <w:rFonts w:hint="cs"/>
          <w:b/>
          <w:bCs/>
          <w:sz w:val="26"/>
          <w:szCs w:val="26"/>
          <w:rtl/>
        </w:rPr>
        <w:t xml:space="preserve">"להבטיח כי ההוראה </w:t>
      </w:r>
      <w:r w:rsidRPr="004C53F0">
        <w:rPr>
          <w:rFonts w:hint="cs"/>
          <w:sz w:val="26"/>
          <w:szCs w:val="26"/>
          <w:rtl/>
        </w:rPr>
        <w:t>[סעיף 126(ב)]</w:t>
      </w:r>
      <w:r>
        <w:rPr>
          <w:rFonts w:hint="cs"/>
          <w:b/>
          <w:bCs/>
          <w:sz w:val="26"/>
          <w:szCs w:val="26"/>
          <w:rtl/>
        </w:rPr>
        <w:t xml:space="preserve"> תיושם אך ורק כאשר... החברה המחלקת נתונה למיסוי חברות לפי הפקודה" </w:t>
      </w:r>
      <w:r w:rsidRPr="004C53F0">
        <w:rPr>
          <w:rFonts w:hint="cs"/>
          <w:sz w:val="26"/>
          <w:szCs w:val="26"/>
          <w:rtl/>
        </w:rPr>
        <w:t>(סעיף 38, שם). דומה כי על פי הניסוח של בית המשפט העליון הדרישה האמורה היא ממוקדת</w:t>
      </w:r>
      <w:r w:rsidR="0019238F" w:rsidRPr="004C53F0">
        <w:rPr>
          <w:rFonts w:hint="cs"/>
          <w:sz w:val="26"/>
          <w:szCs w:val="26"/>
          <w:rtl/>
        </w:rPr>
        <w:t xml:space="preserve"> יותר ומכוונת</w:t>
      </w:r>
      <w:r w:rsidR="0019238F">
        <w:rPr>
          <w:rFonts w:hint="cs"/>
          <w:b/>
          <w:bCs/>
          <w:sz w:val="26"/>
          <w:szCs w:val="26"/>
          <w:rtl/>
        </w:rPr>
        <w:t xml:space="preserve"> </w:t>
      </w:r>
      <w:r w:rsidR="0019238F" w:rsidRPr="004C53F0">
        <w:rPr>
          <w:rFonts w:hint="cs"/>
          <w:b/>
          <w:bCs/>
          <w:sz w:val="26"/>
          <w:szCs w:val="26"/>
          <w:rtl/>
        </w:rPr>
        <w:t>לרווחים עצמם</w:t>
      </w:r>
      <w:r w:rsidR="0019238F" w:rsidRPr="004C53F0">
        <w:rPr>
          <w:rFonts w:hint="cs"/>
          <w:sz w:val="26"/>
          <w:szCs w:val="26"/>
          <w:rtl/>
        </w:rPr>
        <w:t>, ויש להיווכח כי</w:t>
      </w:r>
      <w:r w:rsidR="0019238F">
        <w:rPr>
          <w:rFonts w:hint="cs"/>
          <w:b/>
          <w:bCs/>
          <w:sz w:val="26"/>
          <w:szCs w:val="26"/>
          <w:rtl/>
        </w:rPr>
        <w:t xml:space="preserve"> </w:t>
      </w:r>
      <w:r w:rsidR="0019238F" w:rsidRPr="004C53F0">
        <w:rPr>
          <w:rFonts w:hint="cs"/>
          <w:b/>
          <w:bCs/>
          <w:sz w:val="26"/>
          <w:szCs w:val="26"/>
          <w:rtl/>
        </w:rPr>
        <w:t>לגביהם</w:t>
      </w:r>
      <w:r w:rsidR="0019238F" w:rsidRPr="004C53F0">
        <w:rPr>
          <w:rFonts w:hint="cs"/>
          <w:sz w:val="26"/>
          <w:szCs w:val="26"/>
          <w:rtl/>
        </w:rPr>
        <w:t xml:space="preserve"> היה "מיסוי ברמת החברה המחלקת"</w:t>
      </w:r>
      <w:r w:rsidR="004C53F0" w:rsidRPr="004C53F0">
        <w:rPr>
          <w:rFonts w:hint="cs"/>
          <w:sz w:val="26"/>
          <w:szCs w:val="26"/>
          <w:rtl/>
        </w:rPr>
        <w:t>.</w:t>
      </w:r>
    </w:p>
    <w:p w:rsidR="004C53F0" w:rsidRPr="0019238F" w:rsidRDefault="004C53F0" w:rsidP="00F91BB5">
      <w:pPr>
        <w:pStyle w:val="ac"/>
        <w:spacing w:line="360" w:lineRule="auto"/>
        <w:ind w:left="397" w:right="-454"/>
        <w:jc w:val="both"/>
        <w:rPr>
          <w:b/>
          <w:bCs/>
          <w:sz w:val="26"/>
          <w:szCs w:val="26"/>
        </w:rPr>
      </w:pPr>
    </w:p>
    <w:p w:rsidR="00BE24EF" w:rsidRDefault="00BE24EF" w:rsidP="004C53F0">
      <w:pPr>
        <w:pStyle w:val="ac"/>
        <w:numPr>
          <w:ilvl w:val="0"/>
          <w:numId w:val="2"/>
        </w:numPr>
        <w:spacing w:line="360" w:lineRule="auto"/>
        <w:ind w:left="397" w:right="-454"/>
        <w:jc w:val="both"/>
        <w:rPr>
          <w:sz w:val="26"/>
          <w:szCs w:val="26"/>
        </w:rPr>
      </w:pPr>
      <w:r>
        <w:rPr>
          <w:rFonts w:hint="cs"/>
          <w:sz w:val="26"/>
          <w:szCs w:val="26"/>
          <w:rtl/>
        </w:rPr>
        <w:lastRenderedPageBreak/>
        <w:t xml:space="preserve">בהקשר זה יצויין כי כבוד השופט סטולר, שנתן את פסק הדין בעניין </w:t>
      </w:r>
      <w:r w:rsidR="00E557FE" w:rsidRPr="00E557FE">
        <w:rPr>
          <w:rFonts w:hint="cs"/>
          <w:b/>
          <w:bCs/>
          <w:sz w:val="26"/>
          <w:szCs w:val="26"/>
          <w:rtl/>
        </w:rPr>
        <w:t xml:space="preserve">קניון </w:t>
      </w:r>
      <w:r w:rsidRPr="00E557FE">
        <w:rPr>
          <w:rFonts w:hint="cs"/>
          <w:b/>
          <w:bCs/>
          <w:sz w:val="26"/>
          <w:szCs w:val="26"/>
          <w:rtl/>
        </w:rPr>
        <w:t>דרורים</w:t>
      </w:r>
      <w:r w:rsidR="00595A49">
        <w:rPr>
          <w:rFonts w:hint="cs"/>
          <w:sz w:val="26"/>
          <w:szCs w:val="26"/>
          <w:rtl/>
        </w:rPr>
        <w:t xml:space="preserve"> בבית המשפט המחוזי, הציב</w:t>
      </w:r>
      <w:r>
        <w:rPr>
          <w:rFonts w:hint="cs"/>
          <w:sz w:val="26"/>
          <w:szCs w:val="26"/>
          <w:rtl/>
        </w:rPr>
        <w:t xml:space="preserve"> מבחן כפול</w:t>
      </w:r>
      <w:r w:rsidR="004C53F0">
        <w:rPr>
          <w:rFonts w:hint="cs"/>
          <w:sz w:val="26"/>
          <w:szCs w:val="26"/>
          <w:rtl/>
        </w:rPr>
        <w:t>, הכולל לכאורה לדרישת תשלום מס:</w:t>
      </w:r>
      <w:r>
        <w:rPr>
          <w:rFonts w:hint="cs"/>
          <w:sz w:val="26"/>
          <w:szCs w:val="26"/>
          <w:rtl/>
        </w:rPr>
        <w:t xml:space="preserve"> </w:t>
      </w:r>
    </w:p>
    <w:p w:rsidR="007B3CF9" w:rsidRPr="00595A49" w:rsidRDefault="007B3CF9" w:rsidP="00BE24EF">
      <w:pPr>
        <w:pStyle w:val="ac"/>
        <w:spacing w:line="360" w:lineRule="auto"/>
        <w:ind w:left="397" w:right="-454"/>
        <w:jc w:val="both"/>
        <w:rPr>
          <w:sz w:val="26"/>
          <w:szCs w:val="26"/>
          <w:rtl/>
        </w:rPr>
      </w:pPr>
    </w:p>
    <w:p w:rsidR="00C2716C" w:rsidRPr="00C2716C" w:rsidRDefault="00C2716C" w:rsidP="00C2716C">
      <w:pPr>
        <w:pStyle w:val="ac"/>
        <w:spacing w:line="360" w:lineRule="auto"/>
        <w:ind w:left="1134" w:right="567"/>
        <w:jc w:val="both"/>
        <w:rPr>
          <w:b/>
          <w:bCs/>
          <w:sz w:val="26"/>
          <w:szCs w:val="26"/>
          <w:rtl/>
        </w:rPr>
      </w:pPr>
      <w:r w:rsidRPr="00C2716C">
        <w:rPr>
          <w:rFonts w:hint="cs"/>
          <w:b/>
          <w:bCs/>
          <w:sz w:val="26"/>
          <w:szCs w:val="26"/>
          <w:rtl/>
        </w:rPr>
        <w:t>"... המונח 'רווחים או מדיבידנד שמקורם בהכנסות', הם רווחים על פי 'הכנסה' שהיא בחישוב 'ההכנסה החייבת' של החברה המחלקת, אשר שולם בגינה מס.</w:t>
      </w:r>
    </w:p>
    <w:p w:rsidR="00C2716C" w:rsidRPr="00C2716C" w:rsidRDefault="00C2716C" w:rsidP="00C2716C">
      <w:pPr>
        <w:pStyle w:val="ac"/>
        <w:spacing w:line="360" w:lineRule="auto"/>
        <w:ind w:left="1134" w:right="567"/>
        <w:jc w:val="both"/>
        <w:rPr>
          <w:b/>
          <w:bCs/>
          <w:sz w:val="26"/>
          <w:szCs w:val="26"/>
          <w:rtl/>
        </w:rPr>
      </w:pPr>
      <w:r w:rsidRPr="00C2716C">
        <w:rPr>
          <w:rFonts w:hint="cs"/>
          <w:b/>
          <w:bCs/>
          <w:sz w:val="26"/>
          <w:szCs w:val="26"/>
          <w:rtl/>
        </w:rPr>
        <w:t>...</w:t>
      </w:r>
    </w:p>
    <w:p w:rsidR="00C2716C" w:rsidRDefault="00C2716C" w:rsidP="00C2716C">
      <w:pPr>
        <w:pStyle w:val="ac"/>
        <w:spacing w:line="360" w:lineRule="auto"/>
        <w:ind w:left="1134" w:right="567"/>
        <w:jc w:val="both"/>
        <w:rPr>
          <w:b/>
          <w:bCs/>
          <w:sz w:val="26"/>
          <w:szCs w:val="26"/>
          <w:rtl/>
        </w:rPr>
      </w:pPr>
      <w:r w:rsidRPr="00C2716C">
        <w:rPr>
          <w:rFonts w:hint="cs"/>
          <w:b/>
          <w:bCs/>
          <w:sz w:val="26"/>
          <w:szCs w:val="26"/>
          <w:rtl/>
        </w:rPr>
        <w:t xml:space="preserve">מכל האמור לעיל, הגעתי למסקנה כי רווחי שערוך נכס הנדל"ן אינם מהווים 'הכנסה' לצורך חישוב 'ההכנסה החייבת' של חברת-הבת ולכן גם לא שולם בגינם מס על ידי חברת-הבת. לפיכך, אין להחיל </w:t>
      </w:r>
      <w:r w:rsidR="00B67C12" w:rsidRPr="00360D8F">
        <w:rPr>
          <w:rFonts w:hint="cs"/>
          <w:sz w:val="26"/>
          <w:szCs w:val="26"/>
          <w:rtl/>
        </w:rPr>
        <w:t>[על]</w:t>
      </w:r>
      <w:r w:rsidR="00B67C12">
        <w:rPr>
          <w:rFonts w:hint="cs"/>
          <w:b/>
          <w:bCs/>
          <w:sz w:val="26"/>
          <w:szCs w:val="26"/>
          <w:rtl/>
        </w:rPr>
        <w:t xml:space="preserve"> </w:t>
      </w:r>
      <w:r w:rsidRPr="00C2716C">
        <w:rPr>
          <w:rFonts w:hint="cs"/>
          <w:b/>
          <w:bCs/>
          <w:sz w:val="26"/>
          <w:szCs w:val="26"/>
          <w:rtl/>
        </w:rPr>
        <w:t>המערערת ההטבה הגלומה בסעיף 126(ב) לפקודה."</w:t>
      </w:r>
    </w:p>
    <w:p w:rsidR="00C2716C" w:rsidRPr="00C2716C" w:rsidRDefault="00C2716C" w:rsidP="00FE74B3">
      <w:pPr>
        <w:pStyle w:val="ac"/>
        <w:spacing w:line="360" w:lineRule="auto"/>
        <w:ind w:left="1134" w:right="567"/>
        <w:jc w:val="both"/>
        <w:rPr>
          <w:sz w:val="26"/>
          <w:szCs w:val="26"/>
          <w:rtl/>
        </w:rPr>
      </w:pPr>
      <w:r w:rsidRPr="00C2716C">
        <w:rPr>
          <w:rFonts w:hint="cs"/>
          <w:sz w:val="26"/>
          <w:szCs w:val="26"/>
          <w:rtl/>
        </w:rPr>
        <w:t xml:space="preserve">(מתוך סעיפים </w:t>
      </w:r>
      <w:r w:rsidR="00FE74B3">
        <w:rPr>
          <w:rFonts w:hint="cs"/>
          <w:sz w:val="26"/>
          <w:szCs w:val="26"/>
          <w:rtl/>
        </w:rPr>
        <w:t>37 ו- 38</w:t>
      </w:r>
      <w:r w:rsidRPr="00C2716C">
        <w:rPr>
          <w:rFonts w:hint="cs"/>
          <w:sz w:val="26"/>
          <w:szCs w:val="26"/>
          <w:rtl/>
        </w:rPr>
        <w:t xml:space="preserve"> לפסק דינו של כבוד השופט סטולר)</w:t>
      </w:r>
    </w:p>
    <w:p w:rsidR="00BE24EF" w:rsidRDefault="00BE24EF" w:rsidP="00BE24EF">
      <w:pPr>
        <w:pStyle w:val="ac"/>
        <w:spacing w:line="360" w:lineRule="auto"/>
        <w:ind w:left="397" w:right="-454"/>
        <w:jc w:val="both"/>
        <w:rPr>
          <w:sz w:val="26"/>
          <w:szCs w:val="26"/>
        </w:rPr>
      </w:pPr>
    </w:p>
    <w:p w:rsidR="00BE24EF" w:rsidRDefault="00BE24EF" w:rsidP="00CD2268">
      <w:pPr>
        <w:pStyle w:val="ac"/>
        <w:numPr>
          <w:ilvl w:val="0"/>
          <w:numId w:val="2"/>
        </w:numPr>
        <w:spacing w:line="360" w:lineRule="auto"/>
        <w:ind w:left="397" w:right="-454"/>
        <w:jc w:val="both"/>
        <w:rPr>
          <w:sz w:val="26"/>
          <w:szCs w:val="26"/>
        </w:rPr>
      </w:pPr>
      <w:r w:rsidRPr="00A572D4">
        <w:rPr>
          <w:rFonts w:hint="cs"/>
          <w:sz w:val="26"/>
          <w:szCs w:val="26"/>
          <w:rtl/>
        </w:rPr>
        <w:t xml:space="preserve">כאמור, בית המשפט העליון </w:t>
      </w:r>
      <w:r w:rsidR="004C53F0" w:rsidRPr="00A572D4">
        <w:rPr>
          <w:rFonts w:hint="cs"/>
          <w:sz w:val="26"/>
          <w:szCs w:val="26"/>
          <w:rtl/>
        </w:rPr>
        <w:t xml:space="preserve">בעניין </w:t>
      </w:r>
      <w:r w:rsidR="004C53F0" w:rsidRPr="00A572D4">
        <w:rPr>
          <w:rFonts w:hint="cs"/>
          <w:b/>
          <w:bCs/>
          <w:sz w:val="26"/>
          <w:szCs w:val="26"/>
          <w:rtl/>
        </w:rPr>
        <w:t xml:space="preserve"> </w:t>
      </w:r>
      <w:r w:rsidR="004C53F0" w:rsidRPr="00B67C12">
        <w:rPr>
          <w:rFonts w:hint="cs"/>
          <w:b/>
          <w:bCs/>
          <w:sz w:val="26"/>
          <w:szCs w:val="26"/>
          <w:rtl/>
        </w:rPr>
        <w:t>קניון דרורים</w:t>
      </w:r>
      <w:r w:rsidR="004C53F0" w:rsidRPr="00A572D4">
        <w:rPr>
          <w:rFonts w:hint="cs"/>
          <w:sz w:val="26"/>
          <w:szCs w:val="26"/>
          <w:rtl/>
        </w:rPr>
        <w:t xml:space="preserve"> </w:t>
      </w:r>
      <w:r w:rsidRPr="00A572D4">
        <w:rPr>
          <w:rFonts w:hint="cs"/>
          <w:sz w:val="26"/>
          <w:szCs w:val="26"/>
          <w:rtl/>
        </w:rPr>
        <w:t xml:space="preserve">לא פירש (ולא היה צריך לפרש) </w:t>
      </w:r>
      <w:r w:rsidR="00FE74B3" w:rsidRPr="00A572D4">
        <w:rPr>
          <w:rFonts w:hint="cs"/>
          <w:sz w:val="26"/>
          <w:szCs w:val="26"/>
          <w:rtl/>
        </w:rPr>
        <w:t xml:space="preserve"> מה מהות דרישת </w:t>
      </w:r>
      <w:r w:rsidR="004C53F0" w:rsidRPr="00A572D4">
        <w:rPr>
          <w:rFonts w:hint="cs"/>
          <w:sz w:val="26"/>
          <w:szCs w:val="26"/>
          <w:rtl/>
        </w:rPr>
        <w:t>"</w:t>
      </w:r>
      <w:r w:rsidR="00FE74B3" w:rsidRPr="00A572D4">
        <w:rPr>
          <w:rFonts w:hint="cs"/>
          <w:sz w:val="26"/>
          <w:szCs w:val="26"/>
          <w:rtl/>
        </w:rPr>
        <w:t>המיסוי</w:t>
      </w:r>
      <w:r w:rsidR="00A572D4" w:rsidRPr="00A572D4">
        <w:rPr>
          <w:rFonts w:hint="cs"/>
          <w:sz w:val="26"/>
          <w:szCs w:val="26"/>
          <w:rtl/>
        </w:rPr>
        <w:t>"</w:t>
      </w:r>
      <w:r w:rsidR="00FE74B3" w:rsidRPr="00A572D4">
        <w:rPr>
          <w:rFonts w:hint="cs"/>
          <w:sz w:val="26"/>
          <w:szCs w:val="26"/>
          <w:rtl/>
        </w:rPr>
        <w:t xml:space="preserve"> </w:t>
      </w:r>
      <w:r w:rsidRPr="00A572D4">
        <w:rPr>
          <w:rFonts w:hint="cs"/>
          <w:sz w:val="26"/>
          <w:szCs w:val="26"/>
          <w:rtl/>
        </w:rPr>
        <w:t>אצל</w:t>
      </w:r>
      <w:r w:rsidR="00B055A9" w:rsidRPr="00A572D4">
        <w:rPr>
          <w:rFonts w:hint="cs"/>
          <w:sz w:val="26"/>
          <w:szCs w:val="26"/>
          <w:rtl/>
        </w:rPr>
        <w:t xml:space="preserve"> </w:t>
      </w:r>
      <w:r w:rsidRPr="00A572D4">
        <w:rPr>
          <w:rFonts w:hint="cs"/>
          <w:sz w:val="26"/>
          <w:szCs w:val="26"/>
          <w:rtl/>
        </w:rPr>
        <w:t>ה</w:t>
      </w:r>
      <w:r w:rsidR="00A572D4">
        <w:rPr>
          <w:rFonts w:hint="cs"/>
          <w:sz w:val="26"/>
          <w:szCs w:val="26"/>
          <w:rtl/>
        </w:rPr>
        <w:t xml:space="preserve">חברה המחלקת. </w:t>
      </w:r>
    </w:p>
    <w:p w:rsidR="00A572D4" w:rsidRPr="00595A49" w:rsidRDefault="00A572D4" w:rsidP="00A572D4">
      <w:pPr>
        <w:pStyle w:val="ac"/>
        <w:spacing w:line="360" w:lineRule="auto"/>
        <w:ind w:left="397" w:right="-454"/>
        <w:jc w:val="both"/>
        <w:rPr>
          <w:sz w:val="26"/>
          <w:szCs w:val="26"/>
          <w:rtl/>
        </w:rPr>
      </w:pPr>
    </w:p>
    <w:p w:rsidR="00A572D4" w:rsidRDefault="00B67C12" w:rsidP="00B67C12">
      <w:pPr>
        <w:pStyle w:val="ac"/>
        <w:spacing w:line="360" w:lineRule="auto"/>
        <w:ind w:left="397" w:right="-454"/>
        <w:jc w:val="both"/>
        <w:rPr>
          <w:sz w:val="26"/>
          <w:szCs w:val="26"/>
          <w:rtl/>
        </w:rPr>
      </w:pPr>
      <w:r>
        <w:rPr>
          <w:rFonts w:hint="cs"/>
          <w:sz w:val="26"/>
          <w:szCs w:val="26"/>
          <w:rtl/>
        </w:rPr>
        <w:t>כשלעצמי, אינני בד</w:t>
      </w:r>
      <w:r w:rsidR="00A572D4">
        <w:rPr>
          <w:rFonts w:hint="cs"/>
          <w:sz w:val="26"/>
          <w:szCs w:val="26"/>
          <w:rtl/>
        </w:rPr>
        <w:t xml:space="preserve">עה כי סעיף 126(ב) מציב תנאי של תשלום מס בפועל על </w:t>
      </w:r>
      <w:r w:rsidR="00595A49">
        <w:rPr>
          <w:rFonts w:hint="cs"/>
          <w:sz w:val="26"/>
          <w:szCs w:val="26"/>
          <w:rtl/>
        </w:rPr>
        <w:t>ה</w:t>
      </w:r>
      <w:r w:rsidR="00A572D4">
        <w:rPr>
          <w:rFonts w:hint="cs"/>
          <w:sz w:val="26"/>
          <w:szCs w:val="26"/>
          <w:rtl/>
        </w:rPr>
        <w:t>הכנסה שממנה מחולק הדיבידנד, וכפי שיפורט בהמשך, דומה כי אף המשיב דנן איננו דוגל בגישה מחמירה כזו. ואם הפירוש הנכון של התנאי האמור בסעיף 126(ב) הוא שההכנסה הייתה נתונה למיסוי חברות בידי החברה המחלקת, אזי לטעמי, תנאי זה אכן מתקיים במקרה הנוכחי: הדיבידנדים הנדונים חולקו בזכות הכנסות אבנ</w:t>
      </w:r>
      <w:r w:rsidR="00FE5E96">
        <w:rPr>
          <w:rFonts w:hint="cs"/>
          <w:sz w:val="26"/>
          <w:szCs w:val="26"/>
          <w:rtl/>
        </w:rPr>
        <w:t>ת מהשכרת שטחים בקניון ומתן שירות</w:t>
      </w:r>
      <w:r w:rsidR="00A572D4">
        <w:rPr>
          <w:rFonts w:hint="cs"/>
          <w:sz w:val="26"/>
          <w:szCs w:val="26"/>
          <w:rtl/>
        </w:rPr>
        <w:t xml:space="preserve">י ניהול. אין ספק כי הכנסות שוטפות אלה היו </w:t>
      </w:r>
      <w:r>
        <w:rPr>
          <w:rFonts w:hint="cs"/>
          <w:sz w:val="26"/>
          <w:szCs w:val="26"/>
          <w:rtl/>
        </w:rPr>
        <w:t xml:space="preserve">ככלל </w:t>
      </w:r>
      <w:r w:rsidR="00A572D4">
        <w:rPr>
          <w:rFonts w:hint="cs"/>
          <w:sz w:val="26"/>
          <w:szCs w:val="26"/>
          <w:rtl/>
        </w:rPr>
        <w:t xml:space="preserve">נתונות למיסוי בידי אבנת בהתאם לפקודת </w:t>
      </w:r>
      <w:r w:rsidR="00A31036">
        <w:rPr>
          <w:rFonts w:hint="cs"/>
          <w:sz w:val="26"/>
          <w:szCs w:val="26"/>
          <w:rtl/>
        </w:rPr>
        <w:t xml:space="preserve"> </w:t>
      </w:r>
      <w:r w:rsidR="00A572D4">
        <w:rPr>
          <w:rFonts w:hint="cs"/>
          <w:sz w:val="26"/>
          <w:szCs w:val="26"/>
          <w:rtl/>
        </w:rPr>
        <w:t>מס הכנסה</w:t>
      </w:r>
      <w:r w:rsidR="00FE5E96">
        <w:rPr>
          <w:rFonts w:hint="cs"/>
          <w:sz w:val="26"/>
          <w:szCs w:val="26"/>
          <w:rtl/>
        </w:rPr>
        <w:t>,</w:t>
      </w:r>
      <w:r w:rsidR="00A572D4">
        <w:rPr>
          <w:rFonts w:hint="cs"/>
          <w:sz w:val="26"/>
          <w:szCs w:val="26"/>
          <w:rtl/>
        </w:rPr>
        <w:t xml:space="preserve"> זאת על</w:t>
      </w:r>
      <w:r w:rsidR="00FE5E96">
        <w:rPr>
          <w:rFonts w:hint="cs"/>
          <w:sz w:val="26"/>
          <w:szCs w:val="26"/>
          <w:rtl/>
        </w:rPr>
        <w:t xml:space="preserve"> </w:t>
      </w:r>
      <w:r w:rsidR="00A572D4">
        <w:rPr>
          <w:rFonts w:hint="cs"/>
          <w:sz w:val="26"/>
          <w:szCs w:val="26"/>
          <w:rtl/>
        </w:rPr>
        <w:t xml:space="preserve">אף שההכנסה </w:t>
      </w:r>
      <w:r w:rsidR="00FE5E96">
        <w:rPr>
          <w:rFonts w:hint="cs"/>
          <w:sz w:val="26"/>
          <w:szCs w:val="26"/>
          <w:rtl/>
        </w:rPr>
        <w:t>ה</w:t>
      </w:r>
      <w:r w:rsidR="00A572D4">
        <w:rPr>
          <w:rFonts w:hint="cs"/>
          <w:sz w:val="26"/>
          <w:szCs w:val="26"/>
          <w:rtl/>
        </w:rPr>
        <w:t xml:space="preserve">חייבת, שממנה נגזר גובה המס לתשלום, חושבה בין היתר בהתחשב בניכוי פחת על פי תקנות הפחת. </w:t>
      </w:r>
    </w:p>
    <w:p w:rsidR="00A572D4" w:rsidRDefault="00A572D4" w:rsidP="00A572D4">
      <w:pPr>
        <w:pStyle w:val="ac"/>
        <w:spacing w:line="360" w:lineRule="auto"/>
        <w:ind w:left="397" w:right="-454"/>
        <w:jc w:val="both"/>
        <w:rPr>
          <w:sz w:val="26"/>
          <w:szCs w:val="26"/>
          <w:rtl/>
        </w:rPr>
      </w:pPr>
    </w:p>
    <w:p w:rsidR="00FE5E96" w:rsidRDefault="0005317B" w:rsidP="0005317B">
      <w:pPr>
        <w:pStyle w:val="ac"/>
        <w:spacing w:line="360" w:lineRule="auto"/>
        <w:ind w:left="397" w:right="-454"/>
        <w:jc w:val="both"/>
        <w:rPr>
          <w:sz w:val="26"/>
          <w:szCs w:val="26"/>
          <w:rtl/>
        </w:rPr>
      </w:pPr>
      <w:r>
        <w:rPr>
          <w:rFonts w:hint="cs"/>
          <w:sz w:val="26"/>
          <w:szCs w:val="26"/>
          <w:rtl/>
        </w:rPr>
        <w:t xml:space="preserve">יתרה מזו, ניתן </w:t>
      </w:r>
      <w:r w:rsidR="00B67C12">
        <w:rPr>
          <w:rFonts w:hint="cs"/>
          <w:sz w:val="26"/>
          <w:szCs w:val="26"/>
          <w:rtl/>
        </w:rPr>
        <w:t xml:space="preserve">לומר </w:t>
      </w:r>
      <w:r w:rsidR="00FE5E96">
        <w:rPr>
          <w:rFonts w:hint="cs"/>
          <w:sz w:val="26"/>
          <w:szCs w:val="26"/>
          <w:rtl/>
        </w:rPr>
        <w:t xml:space="preserve">כי ההבאה בחשבון של הפחת לצורכי מס אצל אבנת </w:t>
      </w:r>
      <w:r w:rsidR="00B67C12">
        <w:rPr>
          <w:rFonts w:hint="cs"/>
          <w:sz w:val="26"/>
          <w:szCs w:val="26"/>
          <w:rtl/>
        </w:rPr>
        <w:t>הייתה</w:t>
      </w:r>
      <w:r w:rsidR="00FE5E96">
        <w:rPr>
          <w:rFonts w:hint="cs"/>
          <w:sz w:val="26"/>
          <w:szCs w:val="26"/>
          <w:rtl/>
        </w:rPr>
        <w:t xml:space="preserve"> חלק</w:t>
      </w:r>
      <w:r w:rsidR="00B67C12">
        <w:rPr>
          <w:rFonts w:hint="cs"/>
          <w:sz w:val="26"/>
          <w:szCs w:val="26"/>
          <w:rtl/>
        </w:rPr>
        <w:t xml:space="preserve"> בלתי נפרד</w:t>
      </w:r>
      <w:r w:rsidR="00FE5E96">
        <w:rPr>
          <w:rFonts w:hint="cs"/>
          <w:sz w:val="26"/>
          <w:szCs w:val="26"/>
          <w:rtl/>
        </w:rPr>
        <w:t xml:space="preserve"> מן ה"מיסוי" שלה בגין ה"הכנסה" שבידיה. </w:t>
      </w:r>
    </w:p>
    <w:p w:rsidR="00FE5E96" w:rsidRDefault="00FE5E96" w:rsidP="00A572D4">
      <w:pPr>
        <w:pStyle w:val="ac"/>
        <w:spacing w:line="360" w:lineRule="auto"/>
        <w:ind w:left="397" w:right="-454"/>
        <w:jc w:val="both"/>
        <w:rPr>
          <w:sz w:val="26"/>
          <w:szCs w:val="26"/>
          <w:rtl/>
        </w:rPr>
      </w:pPr>
    </w:p>
    <w:p w:rsidR="00A572D4" w:rsidRDefault="00A572D4" w:rsidP="00B67C12">
      <w:pPr>
        <w:pStyle w:val="ac"/>
        <w:numPr>
          <w:ilvl w:val="0"/>
          <w:numId w:val="2"/>
        </w:numPr>
        <w:spacing w:line="360" w:lineRule="auto"/>
        <w:ind w:left="397" w:right="-454"/>
        <w:jc w:val="both"/>
        <w:rPr>
          <w:sz w:val="26"/>
          <w:szCs w:val="26"/>
          <w:rtl/>
        </w:rPr>
      </w:pPr>
      <w:r>
        <w:rPr>
          <w:rFonts w:hint="cs"/>
          <w:sz w:val="26"/>
          <w:szCs w:val="26"/>
          <w:rtl/>
        </w:rPr>
        <w:t xml:space="preserve">כאמור, לטעמי, בנסיבות אלו מתקיים התנאי של "חבר בני אדם החייב במס חברות". </w:t>
      </w:r>
    </w:p>
    <w:p w:rsidR="00A572D4" w:rsidRDefault="00A572D4" w:rsidP="00A572D4">
      <w:pPr>
        <w:pStyle w:val="ac"/>
        <w:spacing w:line="360" w:lineRule="auto"/>
        <w:ind w:left="397" w:right="-454"/>
        <w:jc w:val="both"/>
        <w:rPr>
          <w:sz w:val="26"/>
          <w:szCs w:val="26"/>
          <w:rtl/>
        </w:rPr>
      </w:pPr>
    </w:p>
    <w:p w:rsidR="00A572D4" w:rsidRDefault="00A572D4" w:rsidP="00B67C12">
      <w:pPr>
        <w:pStyle w:val="ac"/>
        <w:spacing w:line="360" w:lineRule="auto"/>
        <w:ind w:left="397" w:right="-454"/>
        <w:jc w:val="both"/>
        <w:rPr>
          <w:sz w:val="26"/>
          <w:szCs w:val="26"/>
          <w:rtl/>
        </w:rPr>
      </w:pPr>
      <w:r>
        <w:rPr>
          <w:rFonts w:hint="cs"/>
          <w:sz w:val="26"/>
          <w:szCs w:val="26"/>
          <w:rtl/>
        </w:rPr>
        <w:lastRenderedPageBreak/>
        <w:t xml:space="preserve">המשיב איננו מסכים ולדעתו הגורם להקטנת ההכנסה החייבת אצל אבנת </w:t>
      </w:r>
      <w:r>
        <w:rPr>
          <w:sz w:val="26"/>
          <w:szCs w:val="26"/>
          <w:rtl/>
        </w:rPr>
        <w:t>–</w:t>
      </w:r>
      <w:r>
        <w:rPr>
          <w:rFonts w:hint="cs"/>
          <w:sz w:val="26"/>
          <w:szCs w:val="26"/>
          <w:rtl/>
        </w:rPr>
        <w:t xml:space="preserve"> אימוץ מודל השווי ההוגן על ידיה </w:t>
      </w:r>
      <w:r>
        <w:rPr>
          <w:sz w:val="26"/>
          <w:szCs w:val="26"/>
          <w:rtl/>
        </w:rPr>
        <w:t>–</w:t>
      </w:r>
      <w:r>
        <w:rPr>
          <w:rFonts w:hint="cs"/>
          <w:sz w:val="26"/>
          <w:szCs w:val="26"/>
          <w:rtl/>
        </w:rPr>
        <w:t xml:space="preserve"> מביא לאי תחולת סעיף 126(ב) אצל המערערת. נשוב ונדון בנושא מרכזי זה בה</w:t>
      </w:r>
      <w:r w:rsidR="00FE5E96">
        <w:rPr>
          <w:rFonts w:hint="cs"/>
          <w:sz w:val="26"/>
          <w:szCs w:val="26"/>
          <w:rtl/>
        </w:rPr>
        <w:t>מ</w:t>
      </w:r>
      <w:r>
        <w:rPr>
          <w:rFonts w:hint="cs"/>
          <w:sz w:val="26"/>
          <w:szCs w:val="26"/>
          <w:rtl/>
        </w:rPr>
        <w:t>שך.</w:t>
      </w:r>
    </w:p>
    <w:p w:rsidR="00015C86" w:rsidRDefault="00015C86" w:rsidP="00B67C12">
      <w:pPr>
        <w:pStyle w:val="ac"/>
        <w:spacing w:line="360" w:lineRule="auto"/>
        <w:ind w:left="397" w:right="-454"/>
        <w:jc w:val="both"/>
        <w:rPr>
          <w:sz w:val="26"/>
          <w:szCs w:val="26"/>
          <w:rtl/>
        </w:rPr>
      </w:pPr>
    </w:p>
    <w:p w:rsidR="00EE3BB9" w:rsidRDefault="00EE3BB9" w:rsidP="00A572D4">
      <w:pPr>
        <w:pStyle w:val="ac"/>
        <w:spacing w:line="360" w:lineRule="auto"/>
        <w:ind w:left="397" w:right="-454"/>
        <w:jc w:val="both"/>
        <w:rPr>
          <w:sz w:val="26"/>
          <w:szCs w:val="26"/>
          <w:rtl/>
        </w:rPr>
      </w:pPr>
    </w:p>
    <w:p w:rsidR="00EE3BB9" w:rsidRPr="00EE3BB9" w:rsidRDefault="00FE5E96" w:rsidP="00A572D4">
      <w:pPr>
        <w:pStyle w:val="ac"/>
        <w:spacing w:line="360" w:lineRule="auto"/>
        <w:ind w:left="397" w:right="-454"/>
        <w:jc w:val="both"/>
        <w:rPr>
          <w:b/>
          <w:bCs/>
          <w:sz w:val="26"/>
          <w:szCs w:val="26"/>
          <w:u w:val="single"/>
          <w:rtl/>
        </w:rPr>
      </w:pPr>
      <w:r w:rsidRPr="00EE3BB9">
        <w:rPr>
          <w:rFonts w:hint="cs"/>
          <w:b/>
          <w:bCs/>
          <w:sz w:val="26"/>
          <w:szCs w:val="26"/>
          <w:u w:val="single"/>
          <w:rtl/>
        </w:rPr>
        <w:t>תזכורת בעניין "חוסר מותנה"</w:t>
      </w:r>
    </w:p>
    <w:p w:rsidR="00890993" w:rsidRDefault="00B67C12" w:rsidP="00B67C12">
      <w:pPr>
        <w:pStyle w:val="ac"/>
        <w:numPr>
          <w:ilvl w:val="0"/>
          <w:numId w:val="2"/>
        </w:numPr>
        <w:spacing w:line="360" w:lineRule="auto"/>
        <w:ind w:left="397" w:right="-454"/>
        <w:jc w:val="both"/>
        <w:rPr>
          <w:sz w:val="26"/>
          <w:szCs w:val="26"/>
        </w:rPr>
      </w:pPr>
      <w:r>
        <w:rPr>
          <w:rFonts w:hint="cs"/>
          <w:sz w:val="26"/>
          <w:szCs w:val="26"/>
          <w:rtl/>
        </w:rPr>
        <w:t>דומה</w:t>
      </w:r>
      <w:r w:rsidR="00595A49">
        <w:rPr>
          <w:rFonts w:hint="cs"/>
          <w:sz w:val="26"/>
          <w:szCs w:val="26"/>
          <w:rtl/>
        </w:rPr>
        <w:t xml:space="preserve"> כי</w:t>
      </w:r>
      <w:r w:rsidR="00EE3BB9">
        <w:rPr>
          <w:rFonts w:hint="cs"/>
          <w:sz w:val="26"/>
          <w:szCs w:val="26"/>
          <w:rtl/>
        </w:rPr>
        <w:t xml:space="preserve"> בבסיס עמדת המשיב בערעור דנן עומד טיעונו לגבי אופי הפער בין החשבונאות והמיסוי בנסיבות הנדונות </w:t>
      </w:r>
      <w:r w:rsidR="00EE3BB9">
        <w:rPr>
          <w:sz w:val="26"/>
          <w:szCs w:val="26"/>
          <w:rtl/>
        </w:rPr>
        <w:t>–</w:t>
      </w:r>
      <w:r w:rsidR="00EE3BB9">
        <w:rPr>
          <w:rFonts w:hint="cs"/>
          <w:sz w:val="26"/>
          <w:szCs w:val="26"/>
          <w:rtl/>
        </w:rPr>
        <w:t xml:space="preserve"> פער שהוא</w:t>
      </w:r>
      <w:r>
        <w:rPr>
          <w:rFonts w:hint="cs"/>
          <w:sz w:val="26"/>
          <w:szCs w:val="26"/>
          <w:rtl/>
        </w:rPr>
        <w:t xml:space="preserve"> מסוג</w:t>
      </w:r>
      <w:r w:rsidR="00EE3BB9">
        <w:rPr>
          <w:rFonts w:hint="cs"/>
          <w:sz w:val="26"/>
          <w:szCs w:val="26"/>
          <w:rtl/>
        </w:rPr>
        <w:t xml:space="preserve"> "הפרש מותנה": </w:t>
      </w:r>
    </w:p>
    <w:p w:rsidR="008A632F" w:rsidRPr="00B67C12" w:rsidRDefault="008A632F" w:rsidP="008A632F">
      <w:pPr>
        <w:pStyle w:val="ad"/>
        <w:ind w:left="1134" w:right="567"/>
        <w:jc w:val="both"/>
        <w:rPr>
          <w:b/>
          <w:bCs/>
          <w:sz w:val="26"/>
          <w:szCs w:val="26"/>
          <w:rtl/>
        </w:rPr>
      </w:pPr>
    </w:p>
    <w:p w:rsidR="00890993" w:rsidRDefault="00EE3BB9" w:rsidP="00F036DF">
      <w:pPr>
        <w:pStyle w:val="ad"/>
        <w:spacing w:line="360" w:lineRule="auto"/>
        <w:ind w:left="1134" w:right="567"/>
        <w:jc w:val="both"/>
        <w:rPr>
          <w:sz w:val="26"/>
          <w:szCs w:val="26"/>
          <w:rtl/>
        </w:rPr>
      </w:pPr>
      <w:r w:rsidRPr="008A632F">
        <w:rPr>
          <w:rFonts w:hint="cs"/>
          <w:b/>
          <w:bCs/>
          <w:sz w:val="26"/>
          <w:szCs w:val="26"/>
          <w:rtl/>
        </w:rPr>
        <w:t>"ניתן לסכם ולומר כי, ההפרש שנוצר, כתוצאה מיישום מודל השווי ההוגן בדוחות הכספיים של חברת הבת, בין חישוב ההכנסה החייבת לבין חישוב הרווח החשבונאי, הצפוי להיסגר רק בקרות אירוע התלוי ברצונו ובמעשיו של הנישום עצמו, או אדם הקשור אליו או בשליטתו, בגובה הוצאות הפחת שנדרשו אך ורק בחישוב ההכנסה החייבת לצורכי מס, מהווה 'חוסר מותנה', כהגדרתו לעיל. במקרה כזה לא מדובר בהפרש עיתוי בלבד,  שכן לא ברור אם ומתי תחליט חברת הבת (או גורם אחר הקשור אליה או שולט בה) למכור את הנכס ואף אם נניח כי הנכס אכן יימכר בעתיד, לא ידוע מה תהיה תוצאת המכירה האמורה (המחיר בו יימכר הנכס והאם יהיה בכך כדי לכסות על הפסד המס שנגרם)</w:t>
      </w:r>
      <w:r w:rsidR="00B67C12">
        <w:rPr>
          <w:rFonts w:hint="cs"/>
          <w:b/>
          <w:bCs/>
          <w:sz w:val="26"/>
          <w:szCs w:val="26"/>
          <w:rtl/>
        </w:rPr>
        <w:t>.</w:t>
      </w:r>
      <w:r w:rsidRPr="008A632F">
        <w:rPr>
          <w:rFonts w:hint="cs"/>
          <w:b/>
          <w:bCs/>
          <w:sz w:val="26"/>
          <w:szCs w:val="26"/>
          <w:rtl/>
        </w:rPr>
        <w:t xml:space="preserve">" </w:t>
      </w:r>
      <w:r w:rsidR="00595A49">
        <w:rPr>
          <w:rFonts w:hint="cs"/>
          <w:sz w:val="26"/>
          <w:szCs w:val="26"/>
          <w:rtl/>
        </w:rPr>
        <w:t>(מתוך סעיף 46</w:t>
      </w:r>
      <w:r w:rsidR="008A632F" w:rsidRPr="008A632F">
        <w:rPr>
          <w:rFonts w:hint="cs"/>
          <w:sz w:val="26"/>
          <w:szCs w:val="26"/>
          <w:rtl/>
        </w:rPr>
        <w:t xml:space="preserve"> לסיכומי המשיב</w:t>
      </w:r>
      <w:r w:rsidRPr="008A632F">
        <w:rPr>
          <w:rFonts w:hint="cs"/>
          <w:sz w:val="26"/>
          <w:szCs w:val="26"/>
          <w:rtl/>
        </w:rPr>
        <w:t>)</w:t>
      </w:r>
    </w:p>
    <w:p w:rsidR="00DC05E5" w:rsidRDefault="00DC05E5" w:rsidP="00DC05E5">
      <w:pPr>
        <w:pStyle w:val="ad"/>
        <w:spacing w:line="360" w:lineRule="auto"/>
        <w:ind w:right="567"/>
        <w:jc w:val="both"/>
        <w:rPr>
          <w:b/>
          <w:bCs/>
          <w:sz w:val="26"/>
          <w:szCs w:val="26"/>
          <w:rtl/>
        </w:rPr>
      </w:pPr>
    </w:p>
    <w:p w:rsidR="00DC05E5" w:rsidRDefault="00E029E4" w:rsidP="00B67C12">
      <w:pPr>
        <w:pStyle w:val="ac"/>
        <w:numPr>
          <w:ilvl w:val="0"/>
          <w:numId w:val="2"/>
        </w:numPr>
        <w:spacing w:line="360" w:lineRule="auto"/>
        <w:ind w:left="397" w:right="-454"/>
        <w:jc w:val="both"/>
        <w:rPr>
          <w:sz w:val="26"/>
          <w:szCs w:val="26"/>
          <w:rtl/>
        </w:rPr>
      </w:pPr>
      <w:r>
        <w:rPr>
          <w:rFonts w:hint="cs"/>
          <w:sz w:val="26"/>
          <w:szCs w:val="26"/>
          <w:rtl/>
        </w:rPr>
        <w:t>אזכיר כי</w:t>
      </w:r>
      <w:r w:rsidR="00DC05E5">
        <w:rPr>
          <w:rFonts w:hint="cs"/>
          <w:sz w:val="26"/>
          <w:szCs w:val="26"/>
          <w:rtl/>
        </w:rPr>
        <w:t xml:space="preserve"> השתמשתי במושג "חוסר מותנה" בעניין </w:t>
      </w:r>
      <w:r w:rsidR="00DC05E5">
        <w:rPr>
          <w:rFonts w:hint="cs"/>
          <w:b/>
          <w:bCs/>
          <w:sz w:val="26"/>
          <w:szCs w:val="26"/>
          <w:rtl/>
        </w:rPr>
        <w:t>אורון</w:t>
      </w:r>
      <w:r w:rsidR="0082237A">
        <w:rPr>
          <w:rFonts w:hint="cs"/>
          <w:sz w:val="26"/>
          <w:szCs w:val="26"/>
          <w:rtl/>
        </w:rPr>
        <w:t xml:space="preserve"> במחוזי בעקבות טענות שהועלו שם.</w:t>
      </w:r>
    </w:p>
    <w:p w:rsidR="00DC05E5" w:rsidRPr="000E6A75" w:rsidRDefault="00DC05E5" w:rsidP="00DC05E5">
      <w:pPr>
        <w:spacing w:line="360" w:lineRule="auto"/>
        <w:jc w:val="both"/>
        <w:rPr>
          <w:sz w:val="26"/>
          <w:szCs w:val="26"/>
          <w:rtl/>
        </w:rPr>
      </w:pPr>
    </w:p>
    <w:p w:rsidR="00DC05E5" w:rsidRDefault="00DC05E5" w:rsidP="00B67C12">
      <w:pPr>
        <w:pStyle w:val="ac"/>
        <w:spacing w:line="360" w:lineRule="auto"/>
        <w:ind w:left="397" w:right="-454"/>
        <w:jc w:val="both"/>
        <w:rPr>
          <w:sz w:val="26"/>
          <w:szCs w:val="26"/>
        </w:rPr>
      </w:pPr>
      <w:r>
        <w:rPr>
          <w:rFonts w:hint="cs"/>
          <w:sz w:val="26"/>
          <w:szCs w:val="26"/>
          <w:rtl/>
        </w:rPr>
        <w:t xml:space="preserve">המערערת </w:t>
      </w:r>
      <w:r w:rsidR="00595A49">
        <w:rPr>
          <w:rFonts w:hint="cs"/>
          <w:sz w:val="26"/>
          <w:szCs w:val="26"/>
          <w:rtl/>
        </w:rPr>
        <w:t xml:space="preserve">חברת </w:t>
      </w:r>
      <w:r>
        <w:rPr>
          <w:rFonts w:hint="cs"/>
          <w:sz w:val="26"/>
          <w:szCs w:val="26"/>
          <w:rtl/>
        </w:rPr>
        <w:t xml:space="preserve">אורון אחזקות </w:t>
      </w:r>
      <w:r w:rsidR="00B40299">
        <w:rPr>
          <w:rFonts w:hint="cs"/>
          <w:sz w:val="26"/>
          <w:szCs w:val="26"/>
          <w:rtl/>
        </w:rPr>
        <w:t xml:space="preserve">העלתה </w:t>
      </w:r>
      <w:r>
        <w:rPr>
          <w:rFonts w:hint="cs"/>
          <w:sz w:val="26"/>
          <w:szCs w:val="26"/>
          <w:rtl/>
        </w:rPr>
        <w:t>בפניי</w:t>
      </w:r>
      <w:r w:rsidR="00B40299">
        <w:rPr>
          <w:rFonts w:hint="cs"/>
          <w:sz w:val="26"/>
          <w:szCs w:val="26"/>
          <w:rtl/>
        </w:rPr>
        <w:t>, בין היתר, טענה זו:</w:t>
      </w:r>
      <w:r>
        <w:rPr>
          <w:rFonts w:hint="cs"/>
          <w:sz w:val="26"/>
          <w:szCs w:val="26"/>
          <w:rtl/>
        </w:rPr>
        <w:t xml:space="preserve"> </w:t>
      </w:r>
    </w:p>
    <w:p w:rsidR="00DC05E5" w:rsidRPr="00595A49" w:rsidRDefault="00DC05E5" w:rsidP="00DC05E5">
      <w:pPr>
        <w:pStyle w:val="ac"/>
        <w:spacing w:line="360" w:lineRule="auto"/>
        <w:ind w:left="397" w:right="-454"/>
        <w:jc w:val="both"/>
        <w:rPr>
          <w:sz w:val="26"/>
          <w:szCs w:val="26"/>
          <w:rtl/>
        </w:rPr>
      </w:pPr>
    </w:p>
    <w:p w:rsidR="00DC05E5" w:rsidRDefault="00DC05E5" w:rsidP="00DC05E5">
      <w:pPr>
        <w:pStyle w:val="ac"/>
        <w:spacing w:line="360" w:lineRule="auto"/>
        <w:ind w:left="1134" w:right="567"/>
        <w:jc w:val="both"/>
        <w:rPr>
          <w:b/>
          <w:bCs/>
          <w:sz w:val="26"/>
          <w:szCs w:val="26"/>
          <w:rtl/>
        </w:rPr>
      </w:pPr>
      <w:r>
        <w:rPr>
          <w:rFonts w:hint="cs"/>
          <w:b/>
          <w:bCs/>
          <w:sz w:val="26"/>
          <w:szCs w:val="26"/>
          <w:rtl/>
        </w:rPr>
        <w:t>"... ביישום הוראות סעיף 126(ב) לפקודה רשות המסים איננה פועלת באופן עקבי בקשר להפרשי עיתוי. כדבר בשגרה היא נמנעת מחיוב דיבידנדים בין-חברתיים במס כאשר מחולק רווח חשובנאי שטרם הוכר כהכנסה חייבת, למשל בשל תביעת פחת מואץ על ידי החברה המחלקת. לגישת המערערת, מקרים אלה של אי מיסוי הדיבידנד חרף הפער בין הרווח החשבונאי ובין הכנסה החייבת משמיטים את הקרקע מתחת לעמדת המשיב בהליך דנן.</w:t>
      </w:r>
    </w:p>
    <w:p w:rsidR="00DC05E5" w:rsidRDefault="00DC05E5" w:rsidP="00DC05E5">
      <w:pPr>
        <w:pStyle w:val="ac"/>
        <w:spacing w:line="360" w:lineRule="auto"/>
        <w:ind w:left="1134" w:right="567"/>
        <w:jc w:val="both"/>
        <w:rPr>
          <w:b/>
          <w:bCs/>
          <w:sz w:val="26"/>
          <w:szCs w:val="26"/>
          <w:rtl/>
        </w:rPr>
      </w:pPr>
      <w:r>
        <w:rPr>
          <w:rFonts w:hint="cs"/>
          <w:b/>
          <w:bCs/>
          <w:sz w:val="26"/>
          <w:szCs w:val="26"/>
          <w:rtl/>
        </w:rPr>
        <w:lastRenderedPageBreak/>
        <w:t>...</w:t>
      </w:r>
    </w:p>
    <w:p w:rsidR="00DC05E5" w:rsidRDefault="00DC05E5" w:rsidP="00DC05E5">
      <w:pPr>
        <w:pStyle w:val="ac"/>
        <w:spacing w:line="360" w:lineRule="auto"/>
        <w:ind w:left="1134" w:right="567"/>
        <w:jc w:val="both"/>
        <w:rPr>
          <w:sz w:val="26"/>
          <w:szCs w:val="26"/>
        </w:rPr>
      </w:pPr>
      <w:r>
        <w:rPr>
          <w:rFonts w:hint="cs"/>
          <w:b/>
          <w:bCs/>
          <w:sz w:val="26"/>
          <w:szCs w:val="26"/>
          <w:rtl/>
        </w:rPr>
        <w:t xml:space="preserve">מימים ימימה רשות המסים מסכימה להחיל את סעיף 126(ב) לפקודה ולהימנע מחיוב דיבידנדים בין חברתיים במס גם </w:t>
      </w:r>
      <w:r w:rsidR="00814938">
        <w:rPr>
          <w:rFonts w:hint="cs"/>
          <w:b/>
          <w:bCs/>
          <w:sz w:val="26"/>
          <w:szCs w:val="26"/>
          <w:rtl/>
        </w:rPr>
        <w:t>כ</w:t>
      </w:r>
      <w:r>
        <w:rPr>
          <w:rFonts w:hint="cs"/>
          <w:b/>
          <w:bCs/>
          <w:sz w:val="26"/>
          <w:szCs w:val="26"/>
          <w:rtl/>
        </w:rPr>
        <w:t>אשר החלוקה נעשית מתוך רווח שהוא גבוה מההכסה החייבת המצטברת של החברה המחלקת. דוגמה נפוצה... היא מצב של ניכוי פחת מואץ בידי חברה שההכנסה החייבת לצרכי מס נמוכה</w:t>
      </w:r>
      <w:r w:rsidRPr="0082237A">
        <w:rPr>
          <w:rFonts w:hint="cs"/>
          <w:b/>
          <w:bCs/>
          <w:sz w:val="26"/>
          <w:szCs w:val="26"/>
          <w:rtl/>
        </w:rPr>
        <w:t xml:space="preserve"> (בשל הניכוי המוגדל) </w:t>
      </w:r>
      <w:r>
        <w:rPr>
          <w:rFonts w:hint="cs"/>
          <w:b/>
          <w:bCs/>
          <w:sz w:val="26"/>
          <w:szCs w:val="26"/>
          <w:rtl/>
        </w:rPr>
        <w:t xml:space="preserve">מהרווח החשבונאי המופיע בדו"חות הכספיים. נטען כי רשות המסים איננה מדקדקת במצבים אלה ואיננה מנסה לשלול באופן חלקי את תחולתו של סעיף 126(ב) בשל קיום הפער בין ההכנסה החייבת והרווח החשבונאי בידי החברה המחלקת." </w:t>
      </w:r>
    </w:p>
    <w:p w:rsidR="00DC05E5" w:rsidRDefault="00DC05E5" w:rsidP="00DC05E5">
      <w:pPr>
        <w:pStyle w:val="ac"/>
        <w:spacing w:line="360" w:lineRule="auto"/>
        <w:ind w:left="397" w:right="-454"/>
        <w:jc w:val="both"/>
        <w:rPr>
          <w:sz w:val="26"/>
          <w:szCs w:val="26"/>
          <w:rtl/>
        </w:rPr>
      </w:pPr>
      <w:r>
        <w:rPr>
          <w:rFonts w:hint="cs"/>
          <w:sz w:val="26"/>
          <w:szCs w:val="26"/>
          <w:rtl/>
        </w:rPr>
        <w:t xml:space="preserve">            (מתוך סעיפים 34 ו- 62 לפסק הדין, המתארים את טיעון המערערת שם). </w:t>
      </w:r>
    </w:p>
    <w:p w:rsidR="00DC05E5" w:rsidRDefault="00DC05E5" w:rsidP="00DC05E5">
      <w:pPr>
        <w:pStyle w:val="ac"/>
        <w:spacing w:line="360" w:lineRule="auto"/>
        <w:ind w:left="397" w:right="-454"/>
        <w:jc w:val="both"/>
        <w:rPr>
          <w:sz w:val="26"/>
          <w:szCs w:val="26"/>
          <w:rtl/>
        </w:rPr>
      </w:pPr>
    </w:p>
    <w:p w:rsidR="00871CC8" w:rsidRDefault="00DC05E5" w:rsidP="00871CC8">
      <w:pPr>
        <w:pStyle w:val="ac"/>
        <w:spacing w:line="360" w:lineRule="auto"/>
        <w:ind w:left="397" w:right="-454"/>
        <w:jc w:val="both"/>
        <w:rPr>
          <w:sz w:val="26"/>
          <w:szCs w:val="26"/>
          <w:rtl/>
        </w:rPr>
      </w:pPr>
      <w:r>
        <w:rPr>
          <w:rFonts w:hint="cs"/>
          <w:sz w:val="26"/>
          <w:szCs w:val="26"/>
          <w:rtl/>
        </w:rPr>
        <w:t>על רקע טיעונים אלה לגבי מדיניות רשות המסים, השתדלתי להסביר את הדברים על ידי מיון ה"חוסרים" במיסוי  (כלומר, הפער בין הרווח החשבונאי והרווח הנתון למיסוי על פי הפקודה), וזאת על ידי השימוש במונחים "חוסר זמני", "חוסר מותנה" ו- "חוסר קבוע" (כאשר המקרה של פחת מואץ שייך לקבוצת החוסר הזמני). לא אחזור על הדברים בהרחבה כאן (וראו סעיף 63 עד 66 לפסק הדין).</w:t>
      </w:r>
    </w:p>
    <w:p w:rsidR="00871CC8" w:rsidRDefault="00871CC8" w:rsidP="00DC05E5">
      <w:pPr>
        <w:pStyle w:val="ac"/>
        <w:spacing w:line="360" w:lineRule="auto"/>
        <w:ind w:left="397" w:right="-454"/>
        <w:jc w:val="both"/>
        <w:rPr>
          <w:sz w:val="26"/>
          <w:szCs w:val="26"/>
          <w:rtl/>
        </w:rPr>
      </w:pPr>
    </w:p>
    <w:p w:rsidR="00871CC8" w:rsidRPr="00A31036" w:rsidRDefault="00871CC8" w:rsidP="00814938">
      <w:pPr>
        <w:pStyle w:val="ac"/>
        <w:numPr>
          <w:ilvl w:val="0"/>
          <w:numId w:val="2"/>
        </w:numPr>
        <w:spacing w:line="360" w:lineRule="auto"/>
        <w:ind w:left="397" w:right="-454"/>
        <w:jc w:val="both"/>
        <w:rPr>
          <w:sz w:val="26"/>
          <w:szCs w:val="26"/>
          <w:rtl/>
        </w:rPr>
      </w:pPr>
      <w:r w:rsidRPr="00A31036">
        <w:rPr>
          <w:rFonts w:hint="cs"/>
          <w:sz w:val="26"/>
          <w:szCs w:val="26"/>
          <w:rtl/>
        </w:rPr>
        <w:t xml:space="preserve">אשר ל"חוסר מותנה", </w:t>
      </w:r>
      <w:r w:rsidR="00814938">
        <w:rPr>
          <w:rFonts w:hint="cs"/>
          <w:sz w:val="26"/>
          <w:szCs w:val="26"/>
          <w:rtl/>
        </w:rPr>
        <w:t>ה</w:t>
      </w:r>
      <w:r w:rsidRPr="00A31036">
        <w:rPr>
          <w:rFonts w:hint="cs"/>
          <w:sz w:val="26"/>
          <w:szCs w:val="26"/>
          <w:rtl/>
        </w:rPr>
        <w:t xml:space="preserve">מתקיים לדעת המשיב במקרה הנוכחי, כתבתי בעניין </w:t>
      </w:r>
      <w:r w:rsidRPr="00A31036">
        <w:rPr>
          <w:rFonts w:hint="cs"/>
          <w:b/>
          <w:bCs/>
          <w:sz w:val="26"/>
          <w:szCs w:val="26"/>
          <w:rtl/>
        </w:rPr>
        <w:t>אורון</w:t>
      </w:r>
      <w:r w:rsidRPr="00A31036">
        <w:rPr>
          <w:rFonts w:hint="cs"/>
          <w:sz w:val="26"/>
          <w:szCs w:val="26"/>
          <w:rtl/>
        </w:rPr>
        <w:t xml:space="preserve"> במחוזי (סעיף 66): </w:t>
      </w:r>
      <w:r w:rsidRPr="00A31036">
        <w:rPr>
          <w:rFonts w:hint="cs"/>
          <w:b/>
          <w:bCs/>
          <w:sz w:val="26"/>
          <w:szCs w:val="26"/>
          <w:rtl/>
        </w:rPr>
        <w:t xml:space="preserve">"בתווך נמצאים המקרים של 'חוסר מותנה'. כוונתי לכל אותם מקרים בהם השלמת המיסוי החסר במודל הדו שלבי תלוי ברצונו ובמעשיו של הנישום עצמו או של אדם הקשור אליו או בשליטתו... במקרים של רווחי שערוך, השלמת המיסוי החסר תתרחש רק אם וכאשר יימכר הנכס שערכו נמדד לפי שווי הוגן... במצב של 'חוסר מותנה' אירוע המס 'המשלים' (חלוקת דיבידנד או מכירת נכס) עלול שלא להתרחש כלל </w:t>
      </w:r>
      <w:r w:rsidRPr="00A31036">
        <w:rPr>
          <w:b/>
          <w:bCs/>
          <w:sz w:val="26"/>
          <w:szCs w:val="26"/>
          <w:rtl/>
        </w:rPr>
        <w:t>–</w:t>
      </w:r>
      <w:r w:rsidRPr="00A31036">
        <w:rPr>
          <w:rFonts w:hint="cs"/>
          <w:b/>
          <w:bCs/>
          <w:sz w:val="26"/>
          <w:szCs w:val="26"/>
          <w:rtl/>
        </w:rPr>
        <w:t xml:space="preserve"> ובכך נבדלת קבוצה שנייה זו מהקבוצה הראשונה, בה החוסר במיסוי בהכרח מתרפא"</w:t>
      </w:r>
      <w:r w:rsidRPr="00A31036">
        <w:rPr>
          <w:rFonts w:hint="cs"/>
          <w:sz w:val="26"/>
          <w:szCs w:val="26"/>
          <w:rtl/>
        </w:rPr>
        <w:t>.</w:t>
      </w:r>
    </w:p>
    <w:p w:rsidR="00871CC8" w:rsidRDefault="00871CC8" w:rsidP="00DC05E5">
      <w:pPr>
        <w:pStyle w:val="ac"/>
        <w:spacing w:line="360" w:lineRule="auto"/>
        <w:ind w:left="397" w:right="-454"/>
        <w:jc w:val="both"/>
        <w:rPr>
          <w:sz w:val="26"/>
          <w:szCs w:val="26"/>
          <w:rtl/>
        </w:rPr>
      </w:pPr>
    </w:p>
    <w:p w:rsidR="00DC05E5" w:rsidRDefault="009C70A4" w:rsidP="009C70A4">
      <w:pPr>
        <w:pStyle w:val="ac"/>
        <w:spacing w:line="360" w:lineRule="auto"/>
        <w:ind w:left="397" w:right="-454"/>
        <w:jc w:val="both"/>
        <w:rPr>
          <w:sz w:val="26"/>
          <w:szCs w:val="26"/>
          <w:rtl/>
        </w:rPr>
      </w:pPr>
      <w:r>
        <w:rPr>
          <w:rFonts w:hint="cs"/>
          <w:sz w:val="26"/>
          <w:szCs w:val="26"/>
          <w:rtl/>
        </w:rPr>
        <w:t xml:space="preserve">המשכתי וציינתי </w:t>
      </w:r>
      <w:r w:rsidR="00DC05E5">
        <w:rPr>
          <w:rFonts w:hint="cs"/>
          <w:sz w:val="26"/>
          <w:szCs w:val="26"/>
          <w:rtl/>
        </w:rPr>
        <w:t xml:space="preserve">שם כי </w:t>
      </w:r>
      <w:r w:rsidR="00DC05E5">
        <w:rPr>
          <w:rFonts w:hint="cs"/>
          <w:b/>
          <w:bCs/>
          <w:sz w:val="26"/>
          <w:szCs w:val="26"/>
          <w:rtl/>
        </w:rPr>
        <w:t>"לאור האמור, הפניית המערערת דנן למקרים בהם קיומו של הפר</w:t>
      </w:r>
      <w:r w:rsidR="00DC05E5" w:rsidRPr="00A66D34">
        <w:rPr>
          <w:rFonts w:hint="cs"/>
          <w:b/>
          <w:bCs/>
          <w:sz w:val="26"/>
          <w:szCs w:val="26"/>
          <w:rtl/>
        </w:rPr>
        <w:t>שי עיתוי לא הביא לאי תחולת סעיף 126(ב) (על פי הנטען)</w:t>
      </w:r>
      <w:r w:rsidR="00DC05E5">
        <w:rPr>
          <w:rFonts w:hint="cs"/>
          <w:b/>
          <w:bCs/>
          <w:sz w:val="26"/>
          <w:szCs w:val="26"/>
          <w:rtl/>
        </w:rPr>
        <w:t xml:space="preserve"> אין בה כדי להעלות או להוריד.</w:t>
      </w:r>
      <w:r w:rsidR="00DC05E5" w:rsidRPr="00A66D34">
        <w:rPr>
          <w:rFonts w:hint="cs"/>
          <w:b/>
          <w:bCs/>
          <w:sz w:val="26"/>
          <w:szCs w:val="26"/>
          <w:rtl/>
        </w:rPr>
        <w:t xml:space="preserve"> ל</w:t>
      </w:r>
      <w:r w:rsidR="00DC05E5">
        <w:rPr>
          <w:rFonts w:hint="cs"/>
          <w:b/>
          <w:bCs/>
          <w:sz w:val="26"/>
          <w:szCs w:val="26"/>
          <w:rtl/>
        </w:rPr>
        <w:t>א הוכח בפניי כי לגבי קבוצת המקרים השנייה, של חוסר מותנה, נהוגה מדיניות מקלה אצל רשות המיסים..."</w:t>
      </w:r>
      <w:r w:rsidR="00DC05E5">
        <w:rPr>
          <w:rFonts w:hint="cs"/>
          <w:sz w:val="26"/>
          <w:szCs w:val="26"/>
          <w:rtl/>
        </w:rPr>
        <w:t xml:space="preserve"> (מתוך סעיף 67 לפסק הדין). </w:t>
      </w:r>
    </w:p>
    <w:p w:rsidR="00DC05E5" w:rsidRDefault="00DC05E5" w:rsidP="00DC05E5">
      <w:pPr>
        <w:pStyle w:val="ac"/>
        <w:spacing w:line="360" w:lineRule="auto"/>
        <w:ind w:left="397" w:right="-454"/>
        <w:jc w:val="both"/>
        <w:rPr>
          <w:sz w:val="26"/>
          <w:szCs w:val="26"/>
          <w:rtl/>
        </w:rPr>
      </w:pPr>
    </w:p>
    <w:p w:rsidR="00871CC8" w:rsidRDefault="00871CC8" w:rsidP="00DC05E5">
      <w:pPr>
        <w:pStyle w:val="ac"/>
        <w:spacing w:line="360" w:lineRule="auto"/>
        <w:ind w:left="397" w:right="-454"/>
        <w:jc w:val="both"/>
        <w:rPr>
          <w:sz w:val="26"/>
          <w:szCs w:val="26"/>
          <w:rtl/>
        </w:rPr>
      </w:pPr>
      <w:r>
        <w:rPr>
          <w:rFonts w:hint="cs"/>
          <w:sz w:val="26"/>
          <w:szCs w:val="26"/>
          <w:rtl/>
        </w:rPr>
        <w:t xml:space="preserve">והנה </w:t>
      </w:r>
      <w:r>
        <w:rPr>
          <w:rFonts w:hint="cs"/>
          <w:b/>
          <w:bCs/>
          <w:sz w:val="26"/>
          <w:szCs w:val="26"/>
          <w:rtl/>
        </w:rPr>
        <w:t xml:space="preserve">מסקנתי </w:t>
      </w:r>
      <w:r>
        <w:rPr>
          <w:rFonts w:hint="cs"/>
          <w:sz w:val="26"/>
          <w:szCs w:val="26"/>
          <w:rtl/>
        </w:rPr>
        <w:t xml:space="preserve">בעניין </w:t>
      </w:r>
      <w:r>
        <w:rPr>
          <w:rFonts w:hint="cs"/>
          <w:b/>
          <w:bCs/>
          <w:sz w:val="26"/>
          <w:szCs w:val="26"/>
          <w:rtl/>
        </w:rPr>
        <w:t>אורון</w:t>
      </w:r>
      <w:r>
        <w:rPr>
          <w:rFonts w:hint="cs"/>
          <w:sz w:val="26"/>
          <w:szCs w:val="26"/>
          <w:rtl/>
        </w:rPr>
        <w:t xml:space="preserve"> הייתה כדלקמן: </w:t>
      </w:r>
    </w:p>
    <w:p w:rsidR="00871CC8" w:rsidRDefault="00871CC8" w:rsidP="00871CC8">
      <w:pPr>
        <w:pStyle w:val="ac"/>
        <w:spacing w:line="360" w:lineRule="auto"/>
        <w:ind w:left="1134" w:right="567"/>
        <w:jc w:val="both"/>
        <w:rPr>
          <w:sz w:val="26"/>
          <w:szCs w:val="26"/>
          <w:rtl/>
        </w:rPr>
      </w:pPr>
    </w:p>
    <w:p w:rsidR="00871CC8" w:rsidRDefault="00595A49" w:rsidP="00871CC8">
      <w:pPr>
        <w:pStyle w:val="ac"/>
        <w:spacing w:line="360" w:lineRule="auto"/>
        <w:ind w:left="1134" w:right="567"/>
        <w:jc w:val="both"/>
        <w:rPr>
          <w:b/>
          <w:bCs/>
          <w:sz w:val="26"/>
          <w:szCs w:val="26"/>
          <w:rtl/>
        </w:rPr>
      </w:pPr>
      <w:r>
        <w:rPr>
          <w:rFonts w:hint="cs"/>
          <w:b/>
          <w:bCs/>
          <w:sz w:val="26"/>
          <w:szCs w:val="26"/>
          <w:rtl/>
        </w:rPr>
        <w:t>"לנוכח לשון</w:t>
      </w:r>
      <w:r w:rsidR="002365E1">
        <w:rPr>
          <w:rFonts w:hint="cs"/>
          <w:b/>
          <w:bCs/>
          <w:sz w:val="26"/>
          <w:szCs w:val="26"/>
          <w:rtl/>
        </w:rPr>
        <w:t xml:space="preserve"> סעיף 126(ב) לפקודה, הפסיקה הקיימת בנושא... ולאור השוני בין סוגי ההפרשים השונים כמפורט לעיל, הגעתי לכלל מסקנה כי משמעות הדיבור 'הכנסות' שבסעיף 126(ב) היא הכנסות שכבר התגבשו בידי החברה המחלקת לצורך מיסויה ולא הכנסות בכוח שעשויות להיווצר בעתיד אם תינקט פעולה מסחרית זו או אחרת, כגון מכירתו של נכס שערכו נמדד לפי שווי הוגן. פירוש זה נאמן יותר למילות הפקודה, נאמן יותר לעקרון המימוש, ונאמן יותר למודל הדו-שלבי כפי שהוא נתפס עד היום". </w:t>
      </w:r>
    </w:p>
    <w:p w:rsidR="002365E1" w:rsidRPr="002365E1" w:rsidRDefault="002365E1" w:rsidP="00871CC8">
      <w:pPr>
        <w:pStyle w:val="ac"/>
        <w:spacing w:line="360" w:lineRule="auto"/>
        <w:ind w:left="1134" w:right="567"/>
        <w:jc w:val="both"/>
        <w:rPr>
          <w:sz w:val="26"/>
          <w:szCs w:val="26"/>
          <w:rtl/>
        </w:rPr>
      </w:pPr>
      <w:r>
        <w:rPr>
          <w:rFonts w:hint="cs"/>
          <w:sz w:val="26"/>
          <w:szCs w:val="26"/>
          <w:rtl/>
        </w:rPr>
        <w:t xml:space="preserve">(מתוך סעיף 69 לפסק הדין). </w:t>
      </w:r>
    </w:p>
    <w:p w:rsidR="00871CC8" w:rsidRDefault="00871CC8" w:rsidP="00DC05E5">
      <w:pPr>
        <w:pStyle w:val="ac"/>
        <w:spacing w:line="360" w:lineRule="auto"/>
        <w:ind w:left="397" w:right="-454"/>
        <w:jc w:val="both"/>
        <w:rPr>
          <w:sz w:val="26"/>
          <w:szCs w:val="26"/>
          <w:rtl/>
        </w:rPr>
      </w:pPr>
    </w:p>
    <w:p w:rsidR="00871CC8" w:rsidRDefault="00871CC8" w:rsidP="00DC05E5">
      <w:pPr>
        <w:pStyle w:val="ac"/>
        <w:spacing w:line="360" w:lineRule="auto"/>
        <w:ind w:left="397" w:right="-454"/>
        <w:jc w:val="both"/>
        <w:rPr>
          <w:sz w:val="26"/>
          <w:szCs w:val="26"/>
          <w:rtl/>
        </w:rPr>
      </w:pPr>
      <w:r>
        <w:rPr>
          <w:rFonts w:hint="cs"/>
          <w:sz w:val="26"/>
          <w:szCs w:val="26"/>
          <w:rtl/>
        </w:rPr>
        <w:t xml:space="preserve">למותר לציין </w:t>
      </w:r>
      <w:r w:rsidR="002365E1">
        <w:rPr>
          <w:rFonts w:hint="cs"/>
          <w:sz w:val="26"/>
          <w:szCs w:val="26"/>
          <w:rtl/>
        </w:rPr>
        <w:t xml:space="preserve">כי מסקנה כזו </w:t>
      </w:r>
      <w:r w:rsidR="002365E1">
        <w:rPr>
          <w:sz w:val="26"/>
          <w:szCs w:val="26"/>
          <w:rtl/>
        </w:rPr>
        <w:t>–</w:t>
      </w:r>
      <w:r w:rsidR="002365E1">
        <w:rPr>
          <w:rFonts w:hint="cs"/>
          <w:sz w:val="26"/>
          <w:szCs w:val="26"/>
          <w:rtl/>
        </w:rPr>
        <w:t xml:space="preserve"> המבוססת בעיקרה </w:t>
      </w:r>
      <w:r w:rsidR="002365E1" w:rsidRPr="00426F68">
        <w:rPr>
          <w:rFonts w:hint="cs"/>
          <w:b/>
          <w:bCs/>
          <w:sz w:val="26"/>
          <w:szCs w:val="26"/>
          <w:rtl/>
        </w:rPr>
        <w:t>על דרישת ה"הכנסות"</w:t>
      </w:r>
      <w:r w:rsidR="002365E1">
        <w:rPr>
          <w:rFonts w:hint="cs"/>
          <w:sz w:val="26"/>
          <w:szCs w:val="26"/>
          <w:rtl/>
        </w:rPr>
        <w:t xml:space="preserve"> </w:t>
      </w:r>
      <w:r w:rsidR="002365E1">
        <w:rPr>
          <w:sz w:val="26"/>
          <w:szCs w:val="26"/>
          <w:rtl/>
        </w:rPr>
        <w:t>–</w:t>
      </w:r>
      <w:r w:rsidR="002365E1">
        <w:rPr>
          <w:rFonts w:hint="cs"/>
          <w:sz w:val="26"/>
          <w:szCs w:val="26"/>
          <w:rtl/>
        </w:rPr>
        <w:t xml:space="preserve"> איננה יכולה להתקבל </w:t>
      </w:r>
      <w:r w:rsidR="002009C9">
        <w:rPr>
          <w:rFonts w:hint="cs"/>
          <w:sz w:val="26"/>
          <w:szCs w:val="26"/>
          <w:rtl/>
        </w:rPr>
        <w:t xml:space="preserve">במקרה הנוכחי, בו אין מחלוקת כי הכנסות ההשכרה וכו' הן "הכנסות" כמשמעותן בפקודה. </w:t>
      </w:r>
    </w:p>
    <w:p w:rsidR="002009C9" w:rsidRPr="00871CC8" w:rsidRDefault="002009C9" w:rsidP="00DC05E5">
      <w:pPr>
        <w:pStyle w:val="ac"/>
        <w:spacing w:line="360" w:lineRule="auto"/>
        <w:ind w:left="397" w:right="-454"/>
        <w:jc w:val="both"/>
        <w:rPr>
          <w:sz w:val="26"/>
          <w:szCs w:val="26"/>
          <w:rtl/>
        </w:rPr>
      </w:pPr>
    </w:p>
    <w:p w:rsidR="00DC05E5" w:rsidRPr="0010587D" w:rsidRDefault="00DC05E5" w:rsidP="00E029E4">
      <w:pPr>
        <w:pStyle w:val="ac"/>
        <w:numPr>
          <w:ilvl w:val="0"/>
          <w:numId w:val="2"/>
        </w:numPr>
        <w:spacing w:line="360" w:lineRule="auto"/>
        <w:ind w:left="397" w:right="-454"/>
        <w:jc w:val="both"/>
        <w:rPr>
          <w:b/>
          <w:bCs/>
          <w:sz w:val="26"/>
          <w:szCs w:val="26"/>
        </w:rPr>
      </w:pPr>
      <w:r>
        <w:rPr>
          <w:rFonts w:hint="cs"/>
          <w:sz w:val="26"/>
          <w:szCs w:val="26"/>
          <w:rtl/>
        </w:rPr>
        <w:t xml:space="preserve">כאשר עניין </w:t>
      </w:r>
      <w:r>
        <w:rPr>
          <w:rFonts w:hint="cs"/>
          <w:b/>
          <w:bCs/>
          <w:sz w:val="26"/>
          <w:szCs w:val="26"/>
          <w:rtl/>
        </w:rPr>
        <w:t>אורון</w:t>
      </w:r>
      <w:r>
        <w:rPr>
          <w:rFonts w:hint="cs"/>
          <w:sz w:val="26"/>
          <w:szCs w:val="26"/>
          <w:rtl/>
        </w:rPr>
        <w:t xml:space="preserve"> הגיע לבית המשפט</w:t>
      </w:r>
      <w:r w:rsidR="00595A49">
        <w:rPr>
          <w:rFonts w:hint="cs"/>
          <w:sz w:val="26"/>
          <w:szCs w:val="26"/>
          <w:rtl/>
        </w:rPr>
        <w:t xml:space="preserve"> העליון</w:t>
      </w:r>
      <w:r>
        <w:rPr>
          <w:rFonts w:hint="cs"/>
          <w:sz w:val="26"/>
          <w:szCs w:val="26"/>
          <w:rtl/>
        </w:rPr>
        <w:t xml:space="preserve">, יחד עם עניין </w:t>
      </w:r>
      <w:r>
        <w:rPr>
          <w:rFonts w:hint="cs"/>
          <w:b/>
          <w:bCs/>
          <w:sz w:val="26"/>
          <w:szCs w:val="26"/>
          <w:rtl/>
        </w:rPr>
        <w:t>קניון דרורים</w:t>
      </w:r>
      <w:r>
        <w:rPr>
          <w:rFonts w:hint="cs"/>
          <w:sz w:val="26"/>
          <w:szCs w:val="26"/>
          <w:rtl/>
        </w:rPr>
        <w:t xml:space="preserve">, מסגרת המיון שפירטתי בפסק דין </w:t>
      </w:r>
      <w:r>
        <w:rPr>
          <w:rFonts w:hint="cs"/>
          <w:b/>
          <w:bCs/>
          <w:sz w:val="26"/>
          <w:szCs w:val="26"/>
          <w:rtl/>
        </w:rPr>
        <w:t>אורון</w:t>
      </w:r>
      <w:r>
        <w:rPr>
          <w:rFonts w:hint="cs"/>
          <w:sz w:val="26"/>
          <w:szCs w:val="26"/>
          <w:rtl/>
        </w:rPr>
        <w:t xml:space="preserve"> לא אומצה על ידי בית המשפט העליון (אם כי היא לא נשללה במפורש); כבוד השופט מינץ  כתב (בסעיף 51 לחוות דעתו) כי </w:t>
      </w:r>
      <w:r>
        <w:rPr>
          <w:rFonts w:hint="cs"/>
          <w:b/>
          <w:bCs/>
          <w:sz w:val="26"/>
          <w:szCs w:val="26"/>
          <w:rtl/>
        </w:rPr>
        <w:t>"נוכח הדרך בה הילכתי, גם לא מצאתי מקום להידרש לשאלת עיתוי תשלום המ</w:t>
      </w:r>
      <w:r w:rsidRPr="00A66D34">
        <w:rPr>
          <w:rFonts w:hint="cs"/>
          <w:b/>
          <w:bCs/>
          <w:sz w:val="26"/>
          <w:szCs w:val="26"/>
          <w:rtl/>
        </w:rPr>
        <w:t xml:space="preserve">ס (טיבו של חוסר המיסוי), </w:t>
      </w:r>
      <w:r w:rsidRPr="0010587D">
        <w:rPr>
          <w:rFonts w:hint="cs"/>
          <w:b/>
          <w:bCs/>
          <w:sz w:val="26"/>
          <w:szCs w:val="26"/>
          <w:rtl/>
        </w:rPr>
        <w:t>אליה התייחס בהרחבה בית המ</w:t>
      </w:r>
      <w:r>
        <w:rPr>
          <w:rFonts w:hint="cs"/>
          <w:b/>
          <w:bCs/>
          <w:sz w:val="26"/>
          <w:szCs w:val="26"/>
          <w:rtl/>
        </w:rPr>
        <w:t>שפ</w:t>
      </w:r>
      <w:r w:rsidRPr="0010587D">
        <w:rPr>
          <w:rFonts w:hint="cs"/>
          <w:b/>
          <w:bCs/>
          <w:sz w:val="26"/>
          <w:szCs w:val="26"/>
          <w:rtl/>
        </w:rPr>
        <w:t>ט המחוזי בעניינה של אורון"</w:t>
      </w:r>
      <w:r w:rsidRPr="0010587D">
        <w:rPr>
          <w:rFonts w:hint="cs"/>
          <w:sz w:val="26"/>
          <w:szCs w:val="26"/>
          <w:rtl/>
        </w:rPr>
        <w:t>.</w:t>
      </w:r>
    </w:p>
    <w:p w:rsidR="008A632F" w:rsidRPr="008A632F" w:rsidRDefault="008A632F" w:rsidP="008A632F">
      <w:pPr>
        <w:pStyle w:val="ad"/>
        <w:ind w:left="1134" w:right="567"/>
        <w:jc w:val="both"/>
        <w:rPr>
          <w:sz w:val="26"/>
          <w:szCs w:val="26"/>
          <w:rtl/>
        </w:rPr>
      </w:pPr>
    </w:p>
    <w:p w:rsidR="008A632F" w:rsidRDefault="00C202B0" w:rsidP="00AD4346">
      <w:pPr>
        <w:pStyle w:val="ac"/>
        <w:numPr>
          <w:ilvl w:val="0"/>
          <w:numId w:val="2"/>
        </w:numPr>
        <w:spacing w:line="360" w:lineRule="auto"/>
        <w:ind w:left="397" w:right="-454"/>
        <w:jc w:val="both"/>
        <w:rPr>
          <w:sz w:val="26"/>
          <w:szCs w:val="26"/>
        </w:rPr>
      </w:pPr>
      <w:r>
        <w:rPr>
          <w:rFonts w:hint="cs"/>
          <w:sz w:val="26"/>
          <w:szCs w:val="26"/>
          <w:rtl/>
        </w:rPr>
        <w:t xml:space="preserve">משלא </w:t>
      </w:r>
      <w:r w:rsidR="008A632F">
        <w:rPr>
          <w:rFonts w:hint="cs"/>
          <w:sz w:val="26"/>
          <w:szCs w:val="26"/>
          <w:rtl/>
        </w:rPr>
        <w:t>יושמה</w:t>
      </w:r>
      <w:r>
        <w:rPr>
          <w:rFonts w:hint="cs"/>
          <w:sz w:val="26"/>
          <w:szCs w:val="26"/>
          <w:rtl/>
        </w:rPr>
        <w:t xml:space="preserve"> בבית המ</w:t>
      </w:r>
      <w:r w:rsidR="00BE24EF">
        <w:rPr>
          <w:rFonts w:hint="cs"/>
          <w:sz w:val="26"/>
          <w:szCs w:val="26"/>
          <w:rtl/>
        </w:rPr>
        <w:t>ש</w:t>
      </w:r>
      <w:r>
        <w:rPr>
          <w:rFonts w:hint="cs"/>
          <w:sz w:val="26"/>
          <w:szCs w:val="26"/>
          <w:rtl/>
        </w:rPr>
        <w:t>פ</w:t>
      </w:r>
      <w:r w:rsidR="00BE24EF">
        <w:rPr>
          <w:rFonts w:hint="cs"/>
          <w:sz w:val="26"/>
          <w:szCs w:val="26"/>
          <w:rtl/>
        </w:rPr>
        <w:t xml:space="preserve">ט העליון מסגרת הניתוח שהוצעה על ידיי </w:t>
      </w:r>
      <w:r w:rsidR="00B45C69">
        <w:rPr>
          <w:rFonts w:hint="cs"/>
          <w:sz w:val="26"/>
          <w:szCs w:val="26"/>
          <w:rtl/>
        </w:rPr>
        <w:t xml:space="preserve">בעניין </w:t>
      </w:r>
      <w:r w:rsidR="00B45C69">
        <w:rPr>
          <w:rFonts w:hint="cs"/>
          <w:b/>
          <w:bCs/>
          <w:sz w:val="26"/>
          <w:szCs w:val="26"/>
          <w:rtl/>
        </w:rPr>
        <w:t>אורון</w:t>
      </w:r>
      <w:r w:rsidR="00B45C69">
        <w:rPr>
          <w:rFonts w:hint="cs"/>
          <w:sz w:val="26"/>
          <w:szCs w:val="26"/>
          <w:rtl/>
        </w:rPr>
        <w:t xml:space="preserve"> (בסיווג החוסרים וכו'), </w:t>
      </w:r>
      <w:r>
        <w:rPr>
          <w:rFonts w:hint="cs"/>
          <w:sz w:val="26"/>
          <w:szCs w:val="26"/>
          <w:rtl/>
        </w:rPr>
        <w:t xml:space="preserve">לכאורה </w:t>
      </w:r>
      <w:r w:rsidR="00015C86">
        <w:rPr>
          <w:rFonts w:hint="cs"/>
          <w:sz w:val="26"/>
          <w:szCs w:val="26"/>
          <w:rtl/>
        </w:rPr>
        <w:t>יש מקום להיסוס לפני שתושתת</w:t>
      </w:r>
      <w:r w:rsidR="00B45C69">
        <w:rPr>
          <w:rFonts w:hint="cs"/>
          <w:sz w:val="26"/>
          <w:szCs w:val="26"/>
          <w:rtl/>
        </w:rPr>
        <w:t xml:space="preserve"> ההכרעה בערעור דנן בעיקר על מסגרת זו, כפי שעושה המשיב, בהדגישו קיום "חוסר מותנה" בשל תביעת הוצאות הפחת</w:t>
      </w:r>
      <w:r w:rsidR="008A632F">
        <w:rPr>
          <w:rFonts w:hint="cs"/>
          <w:sz w:val="26"/>
          <w:szCs w:val="26"/>
          <w:rtl/>
        </w:rPr>
        <w:t xml:space="preserve"> לצורכי מס בלבד.</w:t>
      </w:r>
      <w:r w:rsidR="00B45C69">
        <w:rPr>
          <w:rFonts w:hint="cs"/>
          <w:sz w:val="26"/>
          <w:szCs w:val="26"/>
          <w:rtl/>
        </w:rPr>
        <w:t xml:space="preserve"> </w:t>
      </w:r>
      <w:r w:rsidR="008A632F">
        <w:rPr>
          <w:rFonts w:hint="cs"/>
          <w:sz w:val="26"/>
          <w:szCs w:val="26"/>
          <w:rtl/>
        </w:rPr>
        <w:t>יתרה מזו, וכפי שיומחש מיד, המשיב עצמו כלל איננו עקבי ביישום רעיון החוסר המותנה וההבחנות השונות שהוא עושה אינן מעידות על מבחן ברור ובר הפעלה.</w:t>
      </w:r>
    </w:p>
    <w:p w:rsidR="00CA7928" w:rsidRDefault="00CA7928" w:rsidP="00CA7928">
      <w:pPr>
        <w:spacing w:line="360" w:lineRule="auto"/>
        <w:ind w:left="37" w:right="-454"/>
        <w:jc w:val="both"/>
        <w:rPr>
          <w:sz w:val="26"/>
          <w:szCs w:val="26"/>
          <w:rtl/>
        </w:rPr>
      </w:pPr>
    </w:p>
    <w:p w:rsidR="007B3CF9" w:rsidRPr="00CA7928" w:rsidRDefault="00620C53" w:rsidP="00D14511">
      <w:pPr>
        <w:spacing w:line="360" w:lineRule="auto"/>
        <w:ind w:right="-454"/>
        <w:jc w:val="both"/>
        <w:rPr>
          <w:b/>
          <w:bCs/>
          <w:sz w:val="26"/>
          <w:szCs w:val="26"/>
          <w:u w:val="single"/>
        </w:rPr>
      </w:pPr>
      <w:r>
        <w:rPr>
          <w:rFonts w:hint="cs"/>
          <w:b/>
          <w:bCs/>
          <w:sz w:val="26"/>
          <w:szCs w:val="26"/>
          <w:rtl/>
        </w:rPr>
        <w:t xml:space="preserve">       </w:t>
      </w:r>
      <w:r w:rsidR="00CA7928">
        <w:rPr>
          <w:rFonts w:hint="cs"/>
          <w:b/>
          <w:bCs/>
          <w:sz w:val="26"/>
          <w:szCs w:val="26"/>
          <w:u w:val="single"/>
          <w:rtl/>
        </w:rPr>
        <w:t xml:space="preserve">חוסר </w:t>
      </w:r>
      <w:r w:rsidR="00D14511">
        <w:rPr>
          <w:rFonts w:hint="cs"/>
          <w:b/>
          <w:bCs/>
          <w:sz w:val="26"/>
          <w:szCs w:val="26"/>
          <w:u w:val="single"/>
          <w:rtl/>
        </w:rPr>
        <w:t xml:space="preserve">קוהרנטיות </w:t>
      </w:r>
      <w:r w:rsidR="00CA7928">
        <w:rPr>
          <w:rFonts w:hint="cs"/>
          <w:b/>
          <w:bCs/>
          <w:sz w:val="26"/>
          <w:szCs w:val="26"/>
          <w:u w:val="single"/>
          <w:rtl/>
        </w:rPr>
        <w:t>בעמדת המשיב</w:t>
      </w:r>
      <w:r w:rsidR="00EE0D69">
        <w:rPr>
          <w:rFonts w:hint="cs"/>
          <w:b/>
          <w:bCs/>
          <w:sz w:val="26"/>
          <w:szCs w:val="26"/>
          <w:u w:val="single"/>
          <w:rtl/>
        </w:rPr>
        <w:t xml:space="preserve"> (או למצער, העדר ישימות)</w:t>
      </w:r>
    </w:p>
    <w:p w:rsidR="00B45C69" w:rsidRDefault="00CA7928" w:rsidP="00AD4346">
      <w:pPr>
        <w:pStyle w:val="ac"/>
        <w:numPr>
          <w:ilvl w:val="0"/>
          <w:numId w:val="2"/>
        </w:numPr>
        <w:spacing w:line="360" w:lineRule="auto"/>
        <w:ind w:left="397" w:right="-454"/>
        <w:jc w:val="both"/>
        <w:rPr>
          <w:sz w:val="26"/>
          <w:szCs w:val="26"/>
        </w:rPr>
      </w:pPr>
      <w:r w:rsidRPr="00CA7928">
        <w:rPr>
          <w:rFonts w:hint="cs"/>
          <w:sz w:val="26"/>
          <w:szCs w:val="26"/>
          <w:rtl/>
        </w:rPr>
        <w:t>חרף עמדתו לגבי התיק הנדון, הרי</w:t>
      </w:r>
      <w:r>
        <w:rPr>
          <w:rFonts w:hint="cs"/>
          <w:sz w:val="26"/>
          <w:szCs w:val="26"/>
          <w:rtl/>
        </w:rPr>
        <w:t xml:space="preserve"> </w:t>
      </w:r>
      <w:r w:rsidRPr="00CA7928">
        <w:rPr>
          <w:rFonts w:hint="cs"/>
          <w:sz w:val="26"/>
          <w:szCs w:val="26"/>
          <w:rtl/>
        </w:rPr>
        <w:t>ה</w:t>
      </w:r>
      <w:r>
        <w:rPr>
          <w:rFonts w:hint="cs"/>
          <w:sz w:val="26"/>
          <w:szCs w:val="26"/>
          <w:rtl/>
        </w:rPr>
        <w:t xml:space="preserve">משיב </w:t>
      </w:r>
      <w:r w:rsidR="00B45C69">
        <w:rPr>
          <w:rFonts w:hint="cs"/>
          <w:sz w:val="26"/>
          <w:szCs w:val="26"/>
          <w:rtl/>
        </w:rPr>
        <w:t xml:space="preserve">מסכים לקיום </w:t>
      </w:r>
      <w:r w:rsidR="00B45C69" w:rsidRPr="00B45C69">
        <w:rPr>
          <w:rFonts w:hint="cs"/>
          <w:sz w:val="26"/>
          <w:szCs w:val="26"/>
          <w:rtl/>
        </w:rPr>
        <w:t>חריגים</w:t>
      </w:r>
      <w:r w:rsidR="00B45C69">
        <w:rPr>
          <w:rFonts w:hint="cs"/>
          <w:sz w:val="26"/>
          <w:szCs w:val="26"/>
          <w:rtl/>
        </w:rPr>
        <w:t xml:space="preserve"> חשובים לכלל הנוקשה לפיו רק הכנסה שחוייבה במס  בפועל אצל החברה המחלקת יכולה לשמש מקור לדיבידנד אשר ייהנה מהוראות סעיף 126(ב) בידי החברה המקבלת. </w:t>
      </w:r>
    </w:p>
    <w:p w:rsidR="00B45C69" w:rsidRDefault="00B45C69" w:rsidP="00B45C69">
      <w:pPr>
        <w:pStyle w:val="ac"/>
        <w:spacing w:line="360" w:lineRule="auto"/>
        <w:ind w:left="397" w:right="-454"/>
        <w:jc w:val="both"/>
        <w:rPr>
          <w:b/>
          <w:bCs/>
          <w:sz w:val="26"/>
          <w:szCs w:val="26"/>
          <w:rtl/>
        </w:rPr>
      </w:pPr>
    </w:p>
    <w:p w:rsidR="00B055A9" w:rsidRDefault="00B45C69" w:rsidP="00EE0D69">
      <w:pPr>
        <w:pStyle w:val="ac"/>
        <w:spacing w:line="360" w:lineRule="auto"/>
        <w:ind w:left="397" w:right="-454"/>
        <w:jc w:val="both"/>
        <w:rPr>
          <w:b/>
          <w:bCs/>
          <w:sz w:val="26"/>
          <w:szCs w:val="26"/>
          <w:rtl/>
        </w:rPr>
      </w:pPr>
      <w:r w:rsidRPr="007B3CF9">
        <w:rPr>
          <w:rFonts w:hint="cs"/>
          <w:sz w:val="26"/>
          <w:szCs w:val="26"/>
          <w:rtl/>
        </w:rPr>
        <w:lastRenderedPageBreak/>
        <w:t>ראשית, וכמצויין לעיל, מסכים המשיב כי</w:t>
      </w:r>
      <w:r>
        <w:rPr>
          <w:rFonts w:hint="cs"/>
          <w:b/>
          <w:bCs/>
          <w:sz w:val="26"/>
          <w:szCs w:val="26"/>
          <w:rtl/>
        </w:rPr>
        <w:t xml:space="preserve"> </w:t>
      </w:r>
      <w:r w:rsidRPr="007B3CF9">
        <w:rPr>
          <w:rFonts w:hint="cs"/>
          <w:b/>
          <w:bCs/>
          <w:sz w:val="26"/>
          <w:szCs w:val="26"/>
          <w:rtl/>
        </w:rPr>
        <w:t>אין</w:t>
      </w:r>
      <w:r>
        <w:rPr>
          <w:rFonts w:hint="cs"/>
          <w:b/>
          <w:bCs/>
          <w:sz w:val="26"/>
          <w:szCs w:val="26"/>
          <w:rtl/>
        </w:rPr>
        <w:t xml:space="preserve"> </w:t>
      </w:r>
      <w:r w:rsidR="007B3CF9">
        <w:rPr>
          <w:rFonts w:hint="cs"/>
          <w:sz w:val="26"/>
          <w:szCs w:val="26"/>
          <w:rtl/>
        </w:rPr>
        <w:t xml:space="preserve">דרישה שמקור </w:t>
      </w:r>
      <w:r w:rsidRPr="007B3CF9">
        <w:rPr>
          <w:rFonts w:hint="cs"/>
          <w:sz w:val="26"/>
          <w:szCs w:val="26"/>
          <w:rtl/>
        </w:rPr>
        <w:t xml:space="preserve">הדיבידנדים </w:t>
      </w:r>
      <w:r w:rsidR="0005317B">
        <w:rPr>
          <w:rFonts w:hint="cs"/>
          <w:sz w:val="26"/>
          <w:szCs w:val="26"/>
          <w:rtl/>
        </w:rPr>
        <w:t>יי</w:t>
      </w:r>
      <w:r w:rsidR="00EE0D69">
        <w:rPr>
          <w:rFonts w:hint="cs"/>
          <w:sz w:val="26"/>
          <w:szCs w:val="26"/>
          <w:rtl/>
        </w:rPr>
        <w:t>מצא</w:t>
      </w:r>
      <w:r w:rsidRPr="007B3CF9">
        <w:rPr>
          <w:rFonts w:hint="cs"/>
          <w:sz w:val="26"/>
          <w:szCs w:val="26"/>
          <w:rtl/>
        </w:rPr>
        <w:t xml:space="preserve"> ב</w:t>
      </w:r>
      <w:r w:rsidRPr="007B3CF9">
        <w:rPr>
          <w:rFonts w:hint="cs"/>
          <w:b/>
          <w:bCs/>
          <w:sz w:val="26"/>
          <w:szCs w:val="26"/>
          <w:rtl/>
        </w:rPr>
        <w:t>"הכנסה חייבת"</w:t>
      </w:r>
      <w:r w:rsidRPr="00EE0D69">
        <w:rPr>
          <w:rFonts w:hint="cs"/>
          <w:sz w:val="26"/>
          <w:szCs w:val="26"/>
          <w:rtl/>
        </w:rPr>
        <w:t>:</w:t>
      </w:r>
      <w:r w:rsidR="00B055A9">
        <w:rPr>
          <w:rFonts w:hint="cs"/>
          <w:b/>
          <w:bCs/>
          <w:sz w:val="26"/>
          <w:szCs w:val="26"/>
          <w:rtl/>
        </w:rPr>
        <w:t xml:space="preserve"> </w:t>
      </w:r>
    </w:p>
    <w:p w:rsidR="00B055A9" w:rsidRDefault="00B055A9" w:rsidP="00B45C69">
      <w:pPr>
        <w:pStyle w:val="ac"/>
        <w:spacing w:line="360" w:lineRule="auto"/>
        <w:ind w:left="397" w:right="-454"/>
        <w:jc w:val="both"/>
        <w:rPr>
          <w:b/>
          <w:bCs/>
          <w:sz w:val="26"/>
          <w:szCs w:val="26"/>
          <w:rtl/>
        </w:rPr>
      </w:pPr>
    </w:p>
    <w:p w:rsidR="00B45C69" w:rsidRDefault="00B055A9" w:rsidP="00B055A9">
      <w:pPr>
        <w:pStyle w:val="ac"/>
        <w:spacing w:line="360" w:lineRule="auto"/>
        <w:ind w:left="1134" w:right="567"/>
        <w:jc w:val="both"/>
        <w:rPr>
          <w:sz w:val="26"/>
          <w:szCs w:val="26"/>
          <w:rtl/>
        </w:rPr>
      </w:pPr>
      <w:r w:rsidRPr="00B055A9">
        <w:rPr>
          <w:rFonts w:hint="cs"/>
          <w:b/>
          <w:bCs/>
          <w:sz w:val="26"/>
          <w:szCs w:val="26"/>
          <w:rtl/>
        </w:rPr>
        <w:t>"טענת המערערת העוברת כחוט השני בסיכומיה היא כי התנאי המרכזי לתחולת סעיף 126(ב) לפקודה דורש כי מקור הרווח המחולק יהא ב'הכנסה'; לשיטתה, עמדת המשיב היא כי קיים תנאי נוסף לפיו מקור הרווח צריך להיות ב'הכנסה חייב</w:t>
      </w:r>
      <w:r>
        <w:rPr>
          <w:rFonts w:hint="cs"/>
          <w:b/>
          <w:bCs/>
          <w:sz w:val="26"/>
          <w:szCs w:val="26"/>
          <w:rtl/>
        </w:rPr>
        <w:t>ת' ומשכך יש לדחות את עמדת המשיב</w:t>
      </w:r>
      <w:r w:rsidR="00DA4F6C">
        <w:rPr>
          <w:rFonts w:hint="cs"/>
          <w:b/>
          <w:bCs/>
          <w:sz w:val="26"/>
          <w:szCs w:val="26"/>
          <w:rtl/>
        </w:rPr>
        <w:t>.</w:t>
      </w:r>
      <w:r w:rsidR="00AD4346">
        <w:rPr>
          <w:rFonts w:hint="cs"/>
          <w:b/>
          <w:bCs/>
          <w:sz w:val="26"/>
          <w:szCs w:val="26"/>
          <w:rtl/>
        </w:rPr>
        <w:t xml:space="preserve"> בהתאם, עוסק חלק הארי של סיכומי המערערת בהפרכת העמדה הנטענת של המשיב </w:t>
      </w:r>
      <w:r w:rsidR="00AD4346" w:rsidRPr="00AD4346">
        <w:rPr>
          <w:rFonts w:hint="cs"/>
          <w:b/>
          <w:bCs/>
          <w:sz w:val="26"/>
          <w:szCs w:val="26"/>
          <w:u w:val="single"/>
          <w:rtl/>
        </w:rPr>
        <w:t>אלא שלא זו עמדת המשיב</w:t>
      </w:r>
      <w:r w:rsidRPr="00B055A9">
        <w:rPr>
          <w:rFonts w:hint="cs"/>
          <w:b/>
          <w:bCs/>
          <w:sz w:val="26"/>
          <w:szCs w:val="26"/>
          <w:rtl/>
        </w:rPr>
        <w:t>"</w:t>
      </w:r>
      <w:r>
        <w:rPr>
          <w:rFonts w:hint="cs"/>
          <w:sz w:val="26"/>
          <w:szCs w:val="26"/>
          <w:rtl/>
        </w:rPr>
        <w:t>.</w:t>
      </w:r>
    </w:p>
    <w:p w:rsidR="00B45C69" w:rsidRDefault="00B055A9" w:rsidP="00B45C69">
      <w:pPr>
        <w:pStyle w:val="ac"/>
        <w:spacing w:line="360" w:lineRule="auto"/>
        <w:ind w:left="397" w:right="-454"/>
        <w:jc w:val="both"/>
        <w:rPr>
          <w:sz w:val="26"/>
          <w:szCs w:val="26"/>
          <w:rtl/>
        </w:rPr>
      </w:pPr>
      <w:r>
        <w:rPr>
          <w:rFonts w:hint="cs"/>
          <w:sz w:val="26"/>
          <w:szCs w:val="26"/>
          <w:rtl/>
        </w:rPr>
        <w:t xml:space="preserve">            </w:t>
      </w:r>
      <w:r w:rsidRPr="00B45C69">
        <w:rPr>
          <w:rFonts w:hint="cs"/>
          <w:sz w:val="26"/>
          <w:szCs w:val="26"/>
          <w:rtl/>
        </w:rPr>
        <w:t xml:space="preserve"> </w:t>
      </w:r>
      <w:r w:rsidR="00196487">
        <w:rPr>
          <w:rFonts w:hint="cs"/>
          <w:sz w:val="26"/>
          <w:szCs w:val="26"/>
          <w:rtl/>
        </w:rPr>
        <w:t>(מתוך סעיף 82 לסיכומי המשיב; קו ההדגשה מופיע במקור)</w:t>
      </w:r>
    </w:p>
    <w:p w:rsidR="007B3CF9" w:rsidRPr="00B45C69" w:rsidRDefault="007B3CF9" w:rsidP="00B45C69">
      <w:pPr>
        <w:pStyle w:val="ac"/>
        <w:spacing w:line="360" w:lineRule="auto"/>
        <w:ind w:left="397" w:right="-454"/>
        <w:jc w:val="both"/>
        <w:rPr>
          <w:sz w:val="26"/>
          <w:szCs w:val="26"/>
        </w:rPr>
      </w:pPr>
    </w:p>
    <w:p w:rsidR="00CC3635" w:rsidRPr="00AD4346" w:rsidRDefault="00B61662" w:rsidP="004243E2">
      <w:pPr>
        <w:pStyle w:val="ac"/>
        <w:numPr>
          <w:ilvl w:val="0"/>
          <w:numId w:val="2"/>
        </w:numPr>
        <w:spacing w:line="360" w:lineRule="auto"/>
        <w:ind w:left="397" w:right="-454"/>
        <w:jc w:val="both"/>
        <w:rPr>
          <w:sz w:val="26"/>
          <w:szCs w:val="26"/>
          <w:rtl/>
        </w:rPr>
      </w:pPr>
      <w:r w:rsidRPr="00AD4346">
        <w:rPr>
          <w:rFonts w:hint="cs"/>
          <w:sz w:val="26"/>
          <w:szCs w:val="26"/>
          <w:rtl/>
        </w:rPr>
        <w:t>נזכיר כי הפער המ</w:t>
      </w:r>
      <w:r w:rsidR="007B3CF9" w:rsidRPr="00AD4346">
        <w:rPr>
          <w:rFonts w:hint="cs"/>
          <w:sz w:val="26"/>
          <w:szCs w:val="26"/>
          <w:rtl/>
        </w:rPr>
        <w:t xml:space="preserve">ושגי בין "הכנסה" ובין "הכנסה חייבת" נובע מקיומם של "ניכויים, קיזוזים ופטורים" (ראו סעיף 1 לפקודה). </w:t>
      </w:r>
      <w:r w:rsidR="00CC3635" w:rsidRPr="00AD4346">
        <w:rPr>
          <w:rFonts w:hint="cs"/>
          <w:sz w:val="26"/>
          <w:szCs w:val="26"/>
          <w:rtl/>
        </w:rPr>
        <w:t xml:space="preserve">על רקע זה נציין כי: </w:t>
      </w:r>
    </w:p>
    <w:p w:rsidR="00CC3635" w:rsidRDefault="00CC3635" w:rsidP="00CC3635">
      <w:pPr>
        <w:pStyle w:val="ac"/>
        <w:spacing w:line="360" w:lineRule="auto"/>
        <w:ind w:left="397" w:right="-454"/>
        <w:jc w:val="both"/>
        <w:rPr>
          <w:sz w:val="26"/>
          <w:szCs w:val="26"/>
          <w:rtl/>
        </w:rPr>
      </w:pPr>
    </w:p>
    <w:p w:rsidR="007B3CF9" w:rsidRDefault="007B3CF9" w:rsidP="007B3CF9">
      <w:pPr>
        <w:pStyle w:val="ac"/>
        <w:numPr>
          <w:ilvl w:val="0"/>
          <w:numId w:val="3"/>
        </w:numPr>
        <w:spacing w:line="360" w:lineRule="auto"/>
        <w:ind w:right="-454"/>
        <w:jc w:val="both"/>
        <w:rPr>
          <w:sz w:val="26"/>
          <w:szCs w:val="26"/>
        </w:rPr>
      </w:pPr>
      <w:r>
        <w:rPr>
          <w:rFonts w:hint="cs"/>
          <w:sz w:val="26"/>
          <w:szCs w:val="26"/>
          <w:rtl/>
        </w:rPr>
        <w:t xml:space="preserve">המשיב </w:t>
      </w:r>
      <w:r w:rsidRPr="00285A45">
        <w:rPr>
          <w:rFonts w:hint="cs"/>
          <w:b/>
          <w:bCs/>
          <w:sz w:val="26"/>
          <w:szCs w:val="26"/>
          <w:rtl/>
        </w:rPr>
        <w:t>מסכים</w:t>
      </w:r>
      <w:r>
        <w:rPr>
          <w:rFonts w:hint="cs"/>
          <w:b/>
          <w:bCs/>
          <w:sz w:val="26"/>
          <w:szCs w:val="26"/>
          <w:rtl/>
        </w:rPr>
        <w:t xml:space="preserve"> </w:t>
      </w:r>
      <w:r w:rsidRPr="00285A45">
        <w:rPr>
          <w:rFonts w:hint="cs"/>
          <w:sz w:val="26"/>
          <w:szCs w:val="26"/>
          <w:rtl/>
        </w:rPr>
        <w:t>כי הכנסה שהיא</w:t>
      </w:r>
      <w:r>
        <w:rPr>
          <w:rFonts w:hint="cs"/>
          <w:b/>
          <w:bCs/>
          <w:sz w:val="26"/>
          <w:szCs w:val="26"/>
          <w:rtl/>
        </w:rPr>
        <w:t xml:space="preserve"> </w:t>
      </w:r>
      <w:r w:rsidRPr="00285A45">
        <w:rPr>
          <w:rFonts w:hint="cs"/>
          <w:b/>
          <w:bCs/>
          <w:sz w:val="26"/>
          <w:szCs w:val="26"/>
          <w:rtl/>
        </w:rPr>
        <w:t>פטורה</w:t>
      </w:r>
      <w:r>
        <w:rPr>
          <w:rFonts w:hint="cs"/>
          <w:b/>
          <w:bCs/>
          <w:sz w:val="26"/>
          <w:szCs w:val="26"/>
          <w:rtl/>
        </w:rPr>
        <w:t xml:space="preserve"> </w:t>
      </w:r>
      <w:r w:rsidRPr="00285A45">
        <w:rPr>
          <w:rFonts w:hint="cs"/>
          <w:sz w:val="26"/>
          <w:szCs w:val="26"/>
          <w:rtl/>
        </w:rPr>
        <w:t xml:space="preserve">על פי הוראות </w:t>
      </w:r>
      <w:r w:rsidR="00B61662">
        <w:rPr>
          <w:rFonts w:hint="cs"/>
          <w:sz w:val="26"/>
          <w:szCs w:val="26"/>
          <w:rtl/>
        </w:rPr>
        <w:t>ה</w:t>
      </w:r>
      <w:r w:rsidR="00595A49">
        <w:rPr>
          <w:rFonts w:hint="cs"/>
          <w:sz w:val="26"/>
          <w:szCs w:val="26"/>
          <w:rtl/>
        </w:rPr>
        <w:t xml:space="preserve">פקודה (או חקיקת מס אחרת) בידי החברה המחלקת </w:t>
      </w:r>
      <w:r w:rsidRPr="00285A45">
        <w:rPr>
          <w:rFonts w:hint="cs"/>
          <w:sz w:val="26"/>
          <w:szCs w:val="26"/>
          <w:rtl/>
        </w:rPr>
        <w:t>יכולה לשמש מקור לדיבידנד עליו יחול סעיף 126(ב) (</w:t>
      </w:r>
      <w:r w:rsidR="00285A45">
        <w:rPr>
          <w:rFonts w:hint="cs"/>
          <w:sz w:val="26"/>
          <w:szCs w:val="26"/>
          <w:rtl/>
        </w:rPr>
        <w:t>ראו סעיפים 82 ו- 88 לסי</w:t>
      </w:r>
      <w:r w:rsidRPr="00285A45">
        <w:rPr>
          <w:rFonts w:hint="cs"/>
          <w:sz w:val="26"/>
          <w:szCs w:val="26"/>
          <w:rtl/>
        </w:rPr>
        <w:t>כ</w:t>
      </w:r>
      <w:r w:rsidR="00285A45">
        <w:rPr>
          <w:rFonts w:hint="cs"/>
          <w:sz w:val="26"/>
          <w:szCs w:val="26"/>
          <w:rtl/>
        </w:rPr>
        <w:t>ו</w:t>
      </w:r>
      <w:r w:rsidRPr="00285A45">
        <w:rPr>
          <w:rFonts w:hint="cs"/>
          <w:sz w:val="26"/>
          <w:szCs w:val="26"/>
          <w:rtl/>
        </w:rPr>
        <w:t xml:space="preserve">מי המשיב). </w:t>
      </w:r>
    </w:p>
    <w:p w:rsidR="00AD4346" w:rsidRDefault="00AD4346" w:rsidP="00AD4346">
      <w:pPr>
        <w:pStyle w:val="ac"/>
        <w:spacing w:line="360" w:lineRule="auto"/>
        <w:ind w:left="757" w:right="-454"/>
        <w:jc w:val="both"/>
        <w:rPr>
          <w:sz w:val="26"/>
          <w:szCs w:val="26"/>
        </w:rPr>
      </w:pPr>
    </w:p>
    <w:p w:rsidR="00285A45" w:rsidRDefault="00285A45" w:rsidP="00C556F7">
      <w:pPr>
        <w:pStyle w:val="ac"/>
        <w:numPr>
          <w:ilvl w:val="0"/>
          <w:numId w:val="3"/>
        </w:numPr>
        <w:spacing w:line="360" w:lineRule="auto"/>
        <w:ind w:right="-454"/>
        <w:jc w:val="both"/>
        <w:rPr>
          <w:sz w:val="26"/>
          <w:szCs w:val="26"/>
        </w:rPr>
      </w:pPr>
      <w:r>
        <w:rPr>
          <w:rFonts w:hint="cs"/>
          <w:sz w:val="26"/>
          <w:szCs w:val="26"/>
          <w:rtl/>
        </w:rPr>
        <w:t xml:space="preserve">המשיב </w:t>
      </w:r>
      <w:r>
        <w:rPr>
          <w:rFonts w:hint="cs"/>
          <w:b/>
          <w:bCs/>
          <w:sz w:val="26"/>
          <w:szCs w:val="26"/>
          <w:rtl/>
        </w:rPr>
        <w:t>מסכים</w:t>
      </w:r>
      <w:r>
        <w:rPr>
          <w:rFonts w:hint="cs"/>
          <w:sz w:val="26"/>
          <w:szCs w:val="26"/>
          <w:rtl/>
        </w:rPr>
        <w:t xml:space="preserve"> כי הכנסה שאיננה מתחייבת במס בידי החברה המחלקת בשל </w:t>
      </w:r>
      <w:r>
        <w:rPr>
          <w:rFonts w:hint="cs"/>
          <w:b/>
          <w:bCs/>
          <w:sz w:val="26"/>
          <w:szCs w:val="26"/>
          <w:rtl/>
        </w:rPr>
        <w:t>קיזוז הפסדים</w:t>
      </w:r>
      <w:r>
        <w:rPr>
          <w:rFonts w:hint="cs"/>
          <w:sz w:val="26"/>
          <w:szCs w:val="26"/>
          <w:rtl/>
        </w:rPr>
        <w:t xml:space="preserve"> יכולה לשמש מקור לד</w:t>
      </w:r>
      <w:r w:rsidR="00C556F7">
        <w:rPr>
          <w:rFonts w:hint="cs"/>
          <w:sz w:val="26"/>
          <w:szCs w:val="26"/>
          <w:rtl/>
        </w:rPr>
        <w:t xml:space="preserve">יבידנד כאמור (סעיף 82 לסיכומים; בהקשר זה יוער כי חלוקה כדין של דיבידנד עשויה להתבסס על עודפי השנתיים האחרונות אף אם לצורכי מס קיימים הפסדים ניכרים מימים ימימה). </w:t>
      </w:r>
      <w:r>
        <w:rPr>
          <w:rFonts w:hint="cs"/>
          <w:sz w:val="26"/>
          <w:szCs w:val="26"/>
          <w:rtl/>
        </w:rPr>
        <w:t xml:space="preserve"> </w:t>
      </w:r>
    </w:p>
    <w:p w:rsidR="00AD4346" w:rsidRPr="00AD4346" w:rsidRDefault="00AD4346" w:rsidP="00AD4346">
      <w:pPr>
        <w:pStyle w:val="ac"/>
        <w:rPr>
          <w:sz w:val="26"/>
          <w:szCs w:val="26"/>
          <w:rtl/>
        </w:rPr>
      </w:pPr>
    </w:p>
    <w:p w:rsidR="00285A45" w:rsidRDefault="00285A45" w:rsidP="007B3CF9">
      <w:pPr>
        <w:pStyle w:val="ac"/>
        <w:numPr>
          <w:ilvl w:val="0"/>
          <w:numId w:val="3"/>
        </w:numPr>
        <w:spacing w:line="360" w:lineRule="auto"/>
        <w:ind w:right="-454"/>
        <w:jc w:val="both"/>
        <w:rPr>
          <w:sz w:val="26"/>
          <w:szCs w:val="26"/>
        </w:rPr>
      </w:pPr>
      <w:r>
        <w:rPr>
          <w:rFonts w:hint="cs"/>
          <w:sz w:val="26"/>
          <w:szCs w:val="26"/>
          <w:rtl/>
        </w:rPr>
        <w:t xml:space="preserve">המשיב </w:t>
      </w:r>
      <w:r>
        <w:rPr>
          <w:rFonts w:hint="cs"/>
          <w:b/>
          <w:bCs/>
          <w:sz w:val="26"/>
          <w:szCs w:val="26"/>
          <w:rtl/>
        </w:rPr>
        <w:t>מסכים</w:t>
      </w:r>
      <w:r>
        <w:rPr>
          <w:rFonts w:hint="cs"/>
          <w:sz w:val="26"/>
          <w:szCs w:val="26"/>
          <w:rtl/>
        </w:rPr>
        <w:t xml:space="preserve"> כי חלק מהכנסה שאיננו מתחייב במס בידי החברה המחלקת בשל </w:t>
      </w:r>
      <w:r>
        <w:rPr>
          <w:rFonts w:hint="cs"/>
          <w:b/>
          <w:bCs/>
          <w:sz w:val="26"/>
          <w:szCs w:val="26"/>
          <w:rtl/>
        </w:rPr>
        <w:t xml:space="preserve">פחת מואץ </w:t>
      </w:r>
      <w:r>
        <w:rPr>
          <w:sz w:val="26"/>
          <w:szCs w:val="26"/>
          <w:rtl/>
        </w:rPr>
        <w:t>–</w:t>
      </w:r>
      <w:r>
        <w:rPr>
          <w:rFonts w:hint="cs"/>
          <w:sz w:val="26"/>
          <w:szCs w:val="26"/>
          <w:rtl/>
        </w:rPr>
        <w:t xml:space="preserve"> קרי, פחת לפי דיני המ</w:t>
      </w:r>
      <w:r w:rsidR="00B61662">
        <w:rPr>
          <w:rFonts w:hint="cs"/>
          <w:sz w:val="26"/>
          <w:szCs w:val="26"/>
          <w:rtl/>
        </w:rPr>
        <w:t>ס ששיעורו השנתי גבוה משיעור הפח</w:t>
      </w:r>
      <w:r>
        <w:rPr>
          <w:rFonts w:hint="cs"/>
          <w:sz w:val="26"/>
          <w:szCs w:val="26"/>
          <w:rtl/>
        </w:rPr>
        <w:t xml:space="preserve">ת החשבונאי המשמש בחישוב הרווח החשבונאי </w:t>
      </w:r>
      <w:r>
        <w:rPr>
          <w:sz w:val="26"/>
          <w:szCs w:val="26"/>
          <w:rtl/>
        </w:rPr>
        <w:t>–</w:t>
      </w:r>
      <w:r w:rsidR="00B61662">
        <w:rPr>
          <w:rFonts w:hint="cs"/>
          <w:sz w:val="26"/>
          <w:szCs w:val="26"/>
          <w:rtl/>
        </w:rPr>
        <w:t xml:space="preserve"> יכול לשמש מקור לדיבידנד כאמו</w:t>
      </w:r>
      <w:r>
        <w:rPr>
          <w:rFonts w:hint="cs"/>
          <w:sz w:val="26"/>
          <w:szCs w:val="26"/>
          <w:rtl/>
        </w:rPr>
        <w:t xml:space="preserve">ר, וראו סעיף 97 לסיכומי המשיב: </w:t>
      </w:r>
    </w:p>
    <w:p w:rsidR="00285A45" w:rsidRPr="00AD4346" w:rsidRDefault="00285A45" w:rsidP="00285A45">
      <w:pPr>
        <w:pStyle w:val="ac"/>
        <w:spacing w:line="360" w:lineRule="auto"/>
        <w:ind w:left="757" w:right="-454"/>
        <w:jc w:val="both"/>
        <w:rPr>
          <w:sz w:val="26"/>
          <w:szCs w:val="26"/>
          <w:rtl/>
        </w:rPr>
      </w:pPr>
    </w:p>
    <w:p w:rsidR="00977CFD" w:rsidRPr="00977CFD" w:rsidRDefault="00977CFD" w:rsidP="00977CFD">
      <w:pPr>
        <w:pStyle w:val="ac"/>
        <w:spacing w:line="360" w:lineRule="auto"/>
        <w:ind w:left="1134" w:right="567"/>
        <w:jc w:val="both"/>
        <w:rPr>
          <w:b/>
          <w:bCs/>
          <w:sz w:val="26"/>
          <w:szCs w:val="26"/>
          <w:rtl/>
        </w:rPr>
      </w:pPr>
      <w:r>
        <w:rPr>
          <w:rFonts w:hint="cs"/>
          <w:b/>
          <w:bCs/>
          <w:sz w:val="26"/>
          <w:szCs w:val="26"/>
          <w:rtl/>
        </w:rPr>
        <w:t>"הרשות לא תתקוף חלוקת דיבידנד בשל ההפרש האמור, מאחר שמדובר בדיבידנד שמקורו בהכנסה ושההפרש בינו לבין ההכנסה החייבת הינו הפרש זמני."</w:t>
      </w:r>
    </w:p>
    <w:p w:rsidR="00285A45" w:rsidRDefault="00285A45" w:rsidP="00285A45">
      <w:pPr>
        <w:pStyle w:val="ac"/>
        <w:spacing w:line="360" w:lineRule="auto"/>
        <w:ind w:left="757" w:right="-454"/>
        <w:jc w:val="both"/>
        <w:rPr>
          <w:sz w:val="26"/>
          <w:szCs w:val="26"/>
          <w:rtl/>
        </w:rPr>
      </w:pPr>
    </w:p>
    <w:p w:rsidR="00285A45" w:rsidRDefault="00AD4346" w:rsidP="0016027F">
      <w:pPr>
        <w:pStyle w:val="ac"/>
        <w:spacing w:line="360" w:lineRule="auto"/>
        <w:ind w:left="757" w:right="-454"/>
        <w:jc w:val="both"/>
        <w:rPr>
          <w:sz w:val="26"/>
          <w:szCs w:val="26"/>
          <w:rtl/>
        </w:rPr>
      </w:pPr>
      <w:r>
        <w:rPr>
          <w:rFonts w:hint="cs"/>
          <w:sz w:val="26"/>
          <w:szCs w:val="26"/>
          <w:rtl/>
        </w:rPr>
        <w:lastRenderedPageBreak/>
        <w:t>(יוזכ</w:t>
      </w:r>
      <w:r w:rsidR="00285A45">
        <w:rPr>
          <w:rFonts w:hint="cs"/>
          <w:sz w:val="26"/>
          <w:szCs w:val="26"/>
          <w:rtl/>
        </w:rPr>
        <w:t xml:space="preserve">ר כי לנוכח התהיות שהועלו על ידי המערערת בעניין </w:t>
      </w:r>
      <w:r w:rsidR="00285A45">
        <w:rPr>
          <w:rFonts w:hint="cs"/>
          <w:b/>
          <w:bCs/>
          <w:sz w:val="26"/>
          <w:szCs w:val="26"/>
          <w:rtl/>
        </w:rPr>
        <w:t>אורון</w:t>
      </w:r>
      <w:r w:rsidR="00285A45">
        <w:rPr>
          <w:rFonts w:hint="cs"/>
          <w:sz w:val="26"/>
          <w:szCs w:val="26"/>
          <w:rtl/>
        </w:rPr>
        <w:t xml:space="preserve"> לגבי </w:t>
      </w:r>
      <w:r w:rsidR="00285A45">
        <w:rPr>
          <w:rFonts w:hint="cs"/>
          <w:b/>
          <w:bCs/>
          <w:sz w:val="26"/>
          <w:szCs w:val="26"/>
          <w:rtl/>
        </w:rPr>
        <w:t>מדיניות זו</w:t>
      </w:r>
      <w:r w:rsidR="00285A45">
        <w:rPr>
          <w:rFonts w:hint="cs"/>
          <w:sz w:val="26"/>
          <w:szCs w:val="26"/>
          <w:rtl/>
        </w:rPr>
        <w:t xml:space="preserve"> של רשות המסים, מצאתי לנכון בפסק דיני בעניין </w:t>
      </w:r>
      <w:r w:rsidR="00285A45">
        <w:rPr>
          <w:rFonts w:hint="cs"/>
          <w:b/>
          <w:bCs/>
          <w:sz w:val="26"/>
          <w:szCs w:val="26"/>
          <w:rtl/>
        </w:rPr>
        <w:t>אורון</w:t>
      </w:r>
      <w:r w:rsidR="00285A45">
        <w:rPr>
          <w:rFonts w:hint="cs"/>
          <w:sz w:val="26"/>
          <w:szCs w:val="26"/>
          <w:rtl/>
        </w:rPr>
        <w:t xml:space="preserve"> להציע את דרך הניתוח המבדילה בין סוגי החוסר במיסוי </w:t>
      </w:r>
      <w:r w:rsidR="00285A45">
        <w:rPr>
          <w:sz w:val="26"/>
          <w:szCs w:val="26"/>
          <w:rtl/>
        </w:rPr>
        <w:t>–</w:t>
      </w:r>
      <w:r w:rsidR="00285A45">
        <w:rPr>
          <w:rFonts w:hint="cs"/>
          <w:sz w:val="26"/>
          <w:szCs w:val="26"/>
          <w:rtl/>
        </w:rPr>
        <w:t xml:space="preserve"> </w:t>
      </w:r>
      <w:r w:rsidR="00C556F7">
        <w:rPr>
          <w:rFonts w:hint="cs"/>
          <w:sz w:val="26"/>
          <w:szCs w:val="26"/>
          <w:rtl/>
        </w:rPr>
        <w:t xml:space="preserve">ראו </w:t>
      </w:r>
      <w:r w:rsidR="0005317B">
        <w:rPr>
          <w:rFonts w:hint="cs"/>
          <w:sz w:val="26"/>
          <w:szCs w:val="26"/>
          <w:rtl/>
        </w:rPr>
        <w:t>סעיפים 3</w:t>
      </w:r>
      <w:r w:rsidR="0016027F">
        <w:rPr>
          <w:rFonts w:hint="cs"/>
          <w:sz w:val="26"/>
          <w:szCs w:val="26"/>
          <w:rtl/>
        </w:rPr>
        <w:t>7</w:t>
      </w:r>
      <w:r w:rsidR="0005317B">
        <w:rPr>
          <w:rFonts w:hint="cs"/>
          <w:sz w:val="26"/>
          <w:szCs w:val="26"/>
          <w:rtl/>
        </w:rPr>
        <w:t xml:space="preserve"> ו- 3</w:t>
      </w:r>
      <w:r w:rsidR="0016027F">
        <w:rPr>
          <w:rFonts w:hint="cs"/>
          <w:sz w:val="26"/>
          <w:szCs w:val="26"/>
          <w:rtl/>
        </w:rPr>
        <w:t>8</w:t>
      </w:r>
      <w:r w:rsidR="00C556F7">
        <w:rPr>
          <w:rFonts w:hint="cs"/>
          <w:sz w:val="26"/>
          <w:szCs w:val="26"/>
          <w:rtl/>
        </w:rPr>
        <w:t xml:space="preserve"> לעיל.</w:t>
      </w:r>
      <w:r w:rsidR="0016027F">
        <w:rPr>
          <w:rFonts w:hint="cs"/>
          <w:sz w:val="26"/>
          <w:szCs w:val="26"/>
          <w:rtl/>
        </w:rPr>
        <w:t>)</w:t>
      </w:r>
    </w:p>
    <w:p w:rsidR="00AD4346" w:rsidRPr="00285A45" w:rsidRDefault="00AD4346" w:rsidP="00285A45">
      <w:pPr>
        <w:pStyle w:val="ac"/>
        <w:spacing w:line="360" w:lineRule="auto"/>
        <w:ind w:left="757" w:right="-454"/>
        <w:jc w:val="both"/>
        <w:rPr>
          <w:sz w:val="26"/>
          <w:szCs w:val="26"/>
        </w:rPr>
      </w:pPr>
    </w:p>
    <w:p w:rsidR="000748A8" w:rsidRDefault="00285A45" w:rsidP="00E871A4">
      <w:pPr>
        <w:pStyle w:val="ac"/>
        <w:numPr>
          <w:ilvl w:val="0"/>
          <w:numId w:val="3"/>
        </w:numPr>
        <w:spacing w:line="360" w:lineRule="auto"/>
        <w:ind w:right="-454"/>
        <w:jc w:val="both"/>
        <w:rPr>
          <w:sz w:val="26"/>
          <w:szCs w:val="26"/>
        </w:rPr>
      </w:pPr>
      <w:r>
        <w:rPr>
          <w:rFonts w:hint="cs"/>
          <w:sz w:val="26"/>
          <w:szCs w:val="26"/>
          <w:rtl/>
        </w:rPr>
        <w:t xml:space="preserve">המשיב </w:t>
      </w:r>
      <w:r>
        <w:rPr>
          <w:rFonts w:hint="cs"/>
          <w:b/>
          <w:bCs/>
          <w:sz w:val="26"/>
          <w:szCs w:val="26"/>
          <w:rtl/>
        </w:rPr>
        <w:t>ממשיך ומסכים</w:t>
      </w:r>
      <w:r>
        <w:rPr>
          <w:rFonts w:hint="cs"/>
          <w:sz w:val="26"/>
          <w:szCs w:val="26"/>
          <w:rtl/>
        </w:rPr>
        <w:t xml:space="preserve"> </w:t>
      </w:r>
      <w:r w:rsidR="009918E8">
        <w:rPr>
          <w:rFonts w:hint="cs"/>
          <w:sz w:val="26"/>
          <w:szCs w:val="26"/>
          <w:rtl/>
        </w:rPr>
        <w:t xml:space="preserve">כי אפילו במקרה של הוצאות מסויימות, </w:t>
      </w:r>
      <w:r w:rsidR="009918E8">
        <w:rPr>
          <w:rFonts w:hint="cs"/>
          <w:b/>
          <w:bCs/>
          <w:sz w:val="26"/>
          <w:szCs w:val="26"/>
          <w:rtl/>
        </w:rPr>
        <w:t xml:space="preserve">המותרות בניכוי לצרכי מס </w:t>
      </w:r>
      <w:r w:rsidR="009918E8" w:rsidRPr="00B12911">
        <w:rPr>
          <w:rFonts w:hint="cs"/>
          <w:b/>
          <w:bCs/>
          <w:sz w:val="26"/>
          <w:szCs w:val="26"/>
          <w:u w:val="single"/>
          <w:rtl/>
        </w:rPr>
        <w:t>בלבד</w:t>
      </w:r>
      <w:r w:rsidR="009918E8">
        <w:rPr>
          <w:rFonts w:hint="cs"/>
          <w:sz w:val="26"/>
          <w:szCs w:val="26"/>
          <w:rtl/>
        </w:rPr>
        <w:t xml:space="preserve"> אצל החברה המחלקת, ניתן בכ</w:t>
      </w:r>
      <w:r w:rsidR="00B61662">
        <w:rPr>
          <w:rFonts w:hint="cs"/>
          <w:sz w:val="26"/>
          <w:szCs w:val="26"/>
          <w:rtl/>
        </w:rPr>
        <w:t xml:space="preserve">ל זאת להחיל את סעיף 126(ב) אצל חברה שמקבלת </w:t>
      </w:r>
      <w:r w:rsidR="009918E8">
        <w:rPr>
          <w:rFonts w:hint="cs"/>
          <w:sz w:val="26"/>
          <w:szCs w:val="26"/>
          <w:rtl/>
        </w:rPr>
        <w:t xml:space="preserve">דיבידנד </w:t>
      </w:r>
      <w:r w:rsidR="00E871A4">
        <w:rPr>
          <w:rFonts w:hint="cs"/>
          <w:sz w:val="26"/>
          <w:szCs w:val="26"/>
          <w:rtl/>
        </w:rPr>
        <w:t xml:space="preserve">מידיה </w:t>
      </w:r>
      <w:r w:rsidR="00E871A4">
        <w:rPr>
          <w:sz w:val="26"/>
          <w:szCs w:val="26"/>
          <w:rtl/>
        </w:rPr>
        <w:t>–</w:t>
      </w:r>
      <w:r w:rsidR="00E871A4">
        <w:rPr>
          <w:rFonts w:hint="cs"/>
          <w:sz w:val="26"/>
          <w:szCs w:val="26"/>
          <w:rtl/>
        </w:rPr>
        <w:t xml:space="preserve"> למרות שמקור הדיבידנד</w:t>
      </w:r>
      <w:r w:rsidR="009918E8">
        <w:rPr>
          <w:rFonts w:hint="cs"/>
          <w:sz w:val="26"/>
          <w:szCs w:val="26"/>
          <w:rtl/>
        </w:rPr>
        <w:t xml:space="preserve"> ב</w:t>
      </w:r>
      <w:r w:rsidR="00B61662">
        <w:rPr>
          <w:rFonts w:hint="cs"/>
          <w:sz w:val="26"/>
          <w:szCs w:val="26"/>
          <w:rtl/>
        </w:rPr>
        <w:t xml:space="preserve">רווח חשבונאי </w:t>
      </w:r>
      <w:r w:rsidR="00B61662" w:rsidRPr="000748A8">
        <w:rPr>
          <w:rFonts w:hint="cs"/>
          <w:b/>
          <w:bCs/>
          <w:sz w:val="26"/>
          <w:szCs w:val="26"/>
          <w:rtl/>
        </w:rPr>
        <w:t>שלא</w:t>
      </w:r>
      <w:r w:rsidR="00B61662">
        <w:rPr>
          <w:rFonts w:hint="cs"/>
          <w:sz w:val="26"/>
          <w:szCs w:val="26"/>
          <w:rtl/>
        </w:rPr>
        <w:t xml:space="preserve"> הוקטן</w:t>
      </w:r>
      <w:r w:rsidR="000748A8">
        <w:rPr>
          <w:rFonts w:hint="cs"/>
          <w:sz w:val="26"/>
          <w:szCs w:val="26"/>
          <w:rtl/>
        </w:rPr>
        <w:t xml:space="preserve"> על ידי</w:t>
      </w:r>
      <w:r w:rsidR="00B61662">
        <w:rPr>
          <w:rFonts w:hint="cs"/>
          <w:sz w:val="26"/>
          <w:szCs w:val="26"/>
          <w:rtl/>
        </w:rPr>
        <w:t xml:space="preserve"> רישום הוצאה מקבילה</w:t>
      </w:r>
      <w:r w:rsidR="009918E8">
        <w:rPr>
          <w:rFonts w:hint="cs"/>
          <w:sz w:val="26"/>
          <w:szCs w:val="26"/>
          <w:rtl/>
        </w:rPr>
        <w:t>. כאן מדובר</w:t>
      </w:r>
      <w:r w:rsidR="000748A8">
        <w:rPr>
          <w:rFonts w:hint="cs"/>
          <w:sz w:val="26"/>
          <w:szCs w:val="26"/>
          <w:rtl/>
        </w:rPr>
        <w:t xml:space="preserve"> בהחלט</w:t>
      </w:r>
      <w:r w:rsidR="009918E8">
        <w:rPr>
          <w:rFonts w:hint="cs"/>
          <w:sz w:val="26"/>
          <w:szCs w:val="26"/>
          <w:rtl/>
        </w:rPr>
        <w:t xml:space="preserve"> ב"חוסר קבוע"</w:t>
      </w:r>
      <w:r w:rsidR="00B61662">
        <w:rPr>
          <w:rFonts w:hint="cs"/>
          <w:sz w:val="26"/>
          <w:szCs w:val="26"/>
          <w:rtl/>
        </w:rPr>
        <w:t>,</w:t>
      </w:r>
      <w:r w:rsidR="009918E8">
        <w:rPr>
          <w:rFonts w:hint="cs"/>
          <w:sz w:val="26"/>
          <w:szCs w:val="26"/>
          <w:rtl/>
        </w:rPr>
        <w:t xml:space="preserve"> דהיינו, הפרש בין הרווח החשבונאי לבין ההכנסה החייבת אשר</w:t>
      </w:r>
      <w:r w:rsidR="00E871A4">
        <w:rPr>
          <w:rFonts w:hint="cs"/>
          <w:sz w:val="26"/>
          <w:szCs w:val="26"/>
          <w:rtl/>
        </w:rPr>
        <w:t xml:space="preserve"> לכאורה</w:t>
      </w:r>
      <w:r w:rsidR="009918E8">
        <w:rPr>
          <w:rFonts w:hint="cs"/>
          <w:sz w:val="26"/>
          <w:szCs w:val="26"/>
          <w:rtl/>
        </w:rPr>
        <w:t xml:space="preserve"> </w:t>
      </w:r>
      <w:r w:rsidR="009918E8">
        <w:rPr>
          <w:rFonts w:hint="cs"/>
          <w:b/>
          <w:bCs/>
          <w:sz w:val="26"/>
          <w:szCs w:val="26"/>
          <w:rtl/>
        </w:rPr>
        <w:t>"</w:t>
      </w:r>
      <w:r w:rsidR="009918E8" w:rsidRPr="009918E8">
        <w:rPr>
          <w:rFonts w:hint="cs"/>
          <w:sz w:val="26"/>
          <w:szCs w:val="26"/>
          <w:rtl/>
        </w:rPr>
        <w:t>[י]</w:t>
      </w:r>
      <w:r w:rsidR="009918E8">
        <w:rPr>
          <w:rFonts w:hint="cs"/>
          <w:b/>
          <w:bCs/>
          <w:sz w:val="26"/>
          <w:szCs w:val="26"/>
          <w:rtl/>
        </w:rPr>
        <w:t>נציח את שיבוש המודל הדו-שלבי"</w:t>
      </w:r>
      <w:r w:rsidR="009918E8">
        <w:rPr>
          <w:rFonts w:hint="cs"/>
          <w:sz w:val="26"/>
          <w:szCs w:val="26"/>
          <w:rtl/>
        </w:rPr>
        <w:t xml:space="preserve"> (מתוך סעיף 65 לפסק דיני בעניין </w:t>
      </w:r>
      <w:r w:rsidR="009918E8">
        <w:rPr>
          <w:rFonts w:hint="cs"/>
          <w:b/>
          <w:bCs/>
          <w:sz w:val="26"/>
          <w:szCs w:val="26"/>
          <w:rtl/>
        </w:rPr>
        <w:t>אורון</w:t>
      </w:r>
      <w:r w:rsidR="00B61662">
        <w:rPr>
          <w:rFonts w:hint="cs"/>
          <w:sz w:val="26"/>
          <w:szCs w:val="26"/>
          <w:rtl/>
        </w:rPr>
        <w:t>)</w:t>
      </w:r>
      <w:r w:rsidR="009918E8">
        <w:rPr>
          <w:rFonts w:hint="cs"/>
          <w:sz w:val="26"/>
          <w:szCs w:val="26"/>
          <w:rtl/>
        </w:rPr>
        <w:t xml:space="preserve">. </w:t>
      </w:r>
    </w:p>
    <w:p w:rsidR="000748A8" w:rsidRDefault="000748A8" w:rsidP="000748A8">
      <w:pPr>
        <w:pStyle w:val="ac"/>
        <w:spacing w:line="360" w:lineRule="auto"/>
        <w:ind w:left="757" w:right="-454"/>
        <w:jc w:val="both"/>
        <w:rPr>
          <w:sz w:val="26"/>
          <w:szCs w:val="26"/>
          <w:rtl/>
        </w:rPr>
      </w:pPr>
    </w:p>
    <w:p w:rsidR="00285A45" w:rsidRDefault="009918E8" w:rsidP="000748A8">
      <w:pPr>
        <w:pStyle w:val="ac"/>
        <w:spacing w:line="360" w:lineRule="auto"/>
        <w:ind w:left="757" w:right="-454"/>
        <w:jc w:val="both"/>
        <w:rPr>
          <w:sz w:val="26"/>
          <w:szCs w:val="26"/>
        </w:rPr>
      </w:pPr>
      <w:r>
        <w:rPr>
          <w:rFonts w:hint="cs"/>
          <w:sz w:val="26"/>
          <w:szCs w:val="26"/>
          <w:rtl/>
        </w:rPr>
        <w:t xml:space="preserve">המשיב מסביר את עמדתו לגבי הוצאות מיוחדות אלו כדלקמן: </w:t>
      </w:r>
    </w:p>
    <w:p w:rsidR="009918E8" w:rsidRDefault="009918E8" w:rsidP="009918E8">
      <w:pPr>
        <w:pStyle w:val="ac"/>
        <w:spacing w:line="360" w:lineRule="auto"/>
        <w:ind w:left="757" w:right="-454"/>
        <w:jc w:val="both"/>
        <w:rPr>
          <w:sz w:val="26"/>
          <w:szCs w:val="26"/>
          <w:rtl/>
        </w:rPr>
      </w:pPr>
    </w:p>
    <w:p w:rsidR="000748A8" w:rsidRDefault="000748A8" w:rsidP="00221C09">
      <w:pPr>
        <w:pStyle w:val="ac"/>
        <w:spacing w:line="360" w:lineRule="auto"/>
        <w:ind w:left="1134" w:right="567"/>
        <w:jc w:val="both"/>
        <w:rPr>
          <w:b/>
          <w:bCs/>
          <w:sz w:val="26"/>
          <w:szCs w:val="26"/>
          <w:rtl/>
        </w:rPr>
      </w:pPr>
      <w:r>
        <w:rPr>
          <w:rFonts w:hint="cs"/>
          <w:b/>
          <w:bCs/>
          <w:sz w:val="26"/>
          <w:szCs w:val="26"/>
          <w:rtl/>
        </w:rPr>
        <w:t>"דוגמה אחרת שמביאה המערערת נוגעת להוצאות המותרו</w:t>
      </w:r>
      <w:r w:rsidR="00432AF8">
        <w:rPr>
          <w:rFonts w:hint="cs"/>
          <w:b/>
          <w:bCs/>
          <w:sz w:val="26"/>
          <w:szCs w:val="26"/>
          <w:rtl/>
        </w:rPr>
        <w:t>ת בניכוי לצרכי מס בלבד, אשר אינן</w:t>
      </w:r>
      <w:r>
        <w:rPr>
          <w:rFonts w:hint="cs"/>
          <w:b/>
          <w:bCs/>
          <w:sz w:val="26"/>
          <w:szCs w:val="26"/>
          <w:rtl/>
        </w:rPr>
        <w:t xml:space="preserve"> נרשמות כהוצאות בחשבונאות, לגביהן, טוענת המערערת, הכי</w:t>
      </w:r>
      <w:r w:rsidR="00432AF8">
        <w:rPr>
          <w:rFonts w:hint="cs"/>
          <w:b/>
          <w:bCs/>
          <w:sz w:val="26"/>
          <w:szCs w:val="26"/>
          <w:rtl/>
        </w:rPr>
        <w:t>ר</w:t>
      </w:r>
      <w:r>
        <w:rPr>
          <w:rFonts w:hint="cs"/>
          <w:b/>
          <w:bCs/>
          <w:sz w:val="26"/>
          <w:szCs w:val="26"/>
          <w:rtl/>
        </w:rPr>
        <w:t xml:space="preserve"> המשיב</w:t>
      </w:r>
      <w:r w:rsidR="00221C09">
        <w:rPr>
          <w:rFonts w:hint="cs"/>
          <w:b/>
          <w:bCs/>
          <w:sz w:val="26"/>
          <w:szCs w:val="26"/>
          <w:rtl/>
        </w:rPr>
        <w:t>...</w:t>
      </w:r>
      <w:r>
        <w:rPr>
          <w:rFonts w:hint="cs"/>
          <w:b/>
          <w:bCs/>
          <w:sz w:val="26"/>
          <w:szCs w:val="26"/>
          <w:rtl/>
        </w:rPr>
        <w:t xml:space="preserve"> </w:t>
      </w:r>
      <w:r w:rsidR="009156F5">
        <w:rPr>
          <w:rFonts w:hint="cs"/>
          <w:b/>
          <w:bCs/>
          <w:sz w:val="26"/>
          <w:szCs w:val="26"/>
          <w:rtl/>
        </w:rPr>
        <w:t xml:space="preserve">. </w:t>
      </w:r>
      <w:r>
        <w:rPr>
          <w:rFonts w:hint="cs"/>
          <w:b/>
          <w:bCs/>
          <w:sz w:val="26"/>
          <w:szCs w:val="26"/>
          <w:rtl/>
        </w:rPr>
        <w:t xml:space="preserve">בדומה לאמור ביחס לחלוקת דיבידנד שמקורו בהכנסה פטורה, עמדת המשיב היא, כי הוצאות שביקש המחוקק להתיר לצורך עידוד פעילות מסוימת, או על מנת להעניק הטבה למי שעומד בתנאי אותה הטבה, דינן כדין הכנסה פטורה לעניין תחולת סעיף 126(ב) לפקודה, כפי שהסברנו לעיל. אי החלת  סעיף 126(ב) במקרה כזה הייתה מאיינת את ההטבה שביקש המחוקק לתת. </w:t>
      </w:r>
    </w:p>
    <w:p w:rsidR="000748A8" w:rsidRDefault="000748A8" w:rsidP="000748A8">
      <w:pPr>
        <w:pStyle w:val="ac"/>
        <w:spacing w:line="360" w:lineRule="auto"/>
        <w:ind w:left="1134" w:right="567"/>
        <w:jc w:val="both"/>
        <w:rPr>
          <w:b/>
          <w:bCs/>
          <w:sz w:val="26"/>
          <w:szCs w:val="26"/>
          <w:rtl/>
        </w:rPr>
      </w:pPr>
      <w:r>
        <w:rPr>
          <w:rFonts w:hint="cs"/>
          <w:b/>
          <w:bCs/>
          <w:sz w:val="26"/>
          <w:szCs w:val="26"/>
          <w:rtl/>
        </w:rPr>
        <w:t>על כן יש לתת את הדעת לשאלה האם מדובר בהוצאות שהותרו ב</w:t>
      </w:r>
      <w:r w:rsidR="00432AF8">
        <w:rPr>
          <w:rFonts w:hint="cs"/>
          <w:b/>
          <w:bCs/>
          <w:sz w:val="26"/>
          <w:szCs w:val="26"/>
          <w:rtl/>
        </w:rPr>
        <w:t xml:space="preserve">ניכוי לצורכי מס על ידי המחוקק באופן מכוון על מנת לעודד פעילות, או להעניק הטבה למי שעומד בתנאי אותה הטבה. הוצאות אלה במהותן הינן הוצאות הוניות ומאופיינות בכך שאינן נכנסות בגדר סעיף 17 רישא לפקודה, משום שאינן 'הוצאה בייצור הכנסה' ובהתאם אף אינן מוכרות כהוצאה בדו"ח רווח והפסד החשבונאי. </w:t>
      </w:r>
    </w:p>
    <w:p w:rsidR="00432AF8" w:rsidRDefault="00432AF8" w:rsidP="000748A8">
      <w:pPr>
        <w:pStyle w:val="ac"/>
        <w:spacing w:line="360" w:lineRule="auto"/>
        <w:ind w:left="1134" w:right="567"/>
        <w:jc w:val="both"/>
        <w:rPr>
          <w:b/>
          <w:bCs/>
          <w:sz w:val="26"/>
          <w:szCs w:val="26"/>
          <w:rtl/>
        </w:rPr>
      </w:pPr>
      <w:r>
        <w:rPr>
          <w:rFonts w:hint="cs"/>
          <w:b/>
          <w:bCs/>
          <w:sz w:val="26"/>
          <w:szCs w:val="26"/>
          <w:rtl/>
        </w:rPr>
        <w:t xml:space="preserve">הדוגמה שמביאה המערערת, של הוצאות הנפקה הינה דוגמה </w:t>
      </w:r>
      <w:r w:rsidR="00F90B49">
        <w:rPr>
          <w:rFonts w:hint="cs"/>
          <w:b/>
          <w:bCs/>
          <w:sz w:val="26"/>
          <w:szCs w:val="26"/>
          <w:rtl/>
        </w:rPr>
        <w:t>לה</w:t>
      </w:r>
      <w:r>
        <w:rPr>
          <w:rFonts w:hint="cs"/>
          <w:b/>
          <w:bCs/>
          <w:sz w:val="26"/>
          <w:szCs w:val="26"/>
          <w:rtl/>
        </w:rPr>
        <w:t xml:space="preserve">וצאה מן הסוג האמור.... </w:t>
      </w:r>
    </w:p>
    <w:p w:rsidR="00432AF8" w:rsidRPr="000748A8" w:rsidRDefault="00432AF8" w:rsidP="000748A8">
      <w:pPr>
        <w:pStyle w:val="ac"/>
        <w:spacing w:line="360" w:lineRule="auto"/>
        <w:ind w:left="1134" w:right="567"/>
        <w:jc w:val="both"/>
        <w:rPr>
          <w:b/>
          <w:bCs/>
          <w:sz w:val="26"/>
          <w:szCs w:val="26"/>
          <w:rtl/>
        </w:rPr>
      </w:pPr>
      <w:r>
        <w:rPr>
          <w:rFonts w:hint="cs"/>
          <w:b/>
          <w:bCs/>
          <w:sz w:val="26"/>
          <w:szCs w:val="26"/>
          <w:rtl/>
        </w:rPr>
        <w:t xml:space="preserve">הוצאות הנפקה הינן מקרה ספציפי וקונקרטי, במסגרתו ביקש המחוקק לעודד חברות תעשיתיות להנפיק מניות לציבור. במישור המס </w:t>
      </w:r>
      <w:r>
        <w:rPr>
          <w:rFonts w:hint="cs"/>
          <w:b/>
          <w:bCs/>
          <w:sz w:val="26"/>
          <w:szCs w:val="26"/>
          <w:rtl/>
        </w:rPr>
        <w:lastRenderedPageBreak/>
        <w:t xml:space="preserve">ההוצאה מותרת </w:t>
      </w:r>
      <w:r w:rsidRPr="00221C09">
        <w:rPr>
          <w:rFonts w:hint="cs"/>
          <w:b/>
          <w:bCs/>
          <w:sz w:val="26"/>
          <w:szCs w:val="26"/>
          <w:rtl/>
        </w:rPr>
        <w:t xml:space="preserve">(בחוק עידוד תעשיה (מיסים), תשכ"ט-1969). </w:t>
      </w:r>
      <w:r>
        <w:rPr>
          <w:rFonts w:hint="cs"/>
          <w:b/>
          <w:bCs/>
          <w:sz w:val="26"/>
          <w:szCs w:val="26"/>
          <w:rtl/>
        </w:rPr>
        <w:t xml:space="preserve">מדובר בהוצאה שאינה נכנסת בגדר סעיף 17 רישא לפקודה, וניתנה באופן מדויק לחברה, שעומדת בתנאים מסוימים, שהמחוקק החליט להעניק לה הטבה." </w:t>
      </w:r>
    </w:p>
    <w:p w:rsidR="00261240" w:rsidRDefault="00432AF8" w:rsidP="009918E8">
      <w:pPr>
        <w:pStyle w:val="ac"/>
        <w:spacing w:line="360" w:lineRule="auto"/>
        <w:ind w:left="757" w:right="-454"/>
        <w:jc w:val="both"/>
        <w:rPr>
          <w:sz w:val="26"/>
          <w:szCs w:val="26"/>
          <w:rtl/>
        </w:rPr>
      </w:pPr>
      <w:r>
        <w:rPr>
          <w:rFonts w:hint="cs"/>
          <w:sz w:val="26"/>
          <w:szCs w:val="26"/>
          <w:rtl/>
        </w:rPr>
        <w:t xml:space="preserve">      </w:t>
      </w:r>
      <w:r w:rsidR="00261240">
        <w:rPr>
          <w:rFonts w:hint="cs"/>
          <w:sz w:val="26"/>
          <w:szCs w:val="26"/>
          <w:rtl/>
        </w:rPr>
        <w:t xml:space="preserve">(מתוך סעיפים 89, 90 ו- 91 לסיכומי המשיב). </w:t>
      </w:r>
    </w:p>
    <w:p w:rsidR="00261240" w:rsidRDefault="00261240" w:rsidP="009918E8">
      <w:pPr>
        <w:pStyle w:val="ac"/>
        <w:spacing w:line="360" w:lineRule="auto"/>
        <w:ind w:left="757" w:right="-454"/>
        <w:jc w:val="both"/>
        <w:rPr>
          <w:sz w:val="26"/>
          <w:szCs w:val="26"/>
          <w:rtl/>
        </w:rPr>
      </w:pPr>
    </w:p>
    <w:p w:rsidR="00261240" w:rsidRDefault="00261240" w:rsidP="00E871A4">
      <w:pPr>
        <w:pStyle w:val="ac"/>
        <w:spacing w:line="360" w:lineRule="auto"/>
        <w:ind w:left="397" w:right="-454"/>
        <w:jc w:val="both"/>
        <w:rPr>
          <w:sz w:val="26"/>
          <w:szCs w:val="26"/>
          <w:rtl/>
        </w:rPr>
      </w:pPr>
      <w:r>
        <w:rPr>
          <w:rFonts w:hint="cs"/>
          <w:sz w:val="26"/>
          <w:szCs w:val="26"/>
          <w:rtl/>
        </w:rPr>
        <w:t xml:space="preserve">נמצא כי במקרה ה"ספציפי וקונקרטי" של הוצאות הנפקה, </w:t>
      </w:r>
      <w:r w:rsidR="00B61662">
        <w:rPr>
          <w:rFonts w:hint="cs"/>
          <w:sz w:val="26"/>
          <w:szCs w:val="26"/>
          <w:rtl/>
        </w:rPr>
        <w:t xml:space="preserve">למשל, </w:t>
      </w:r>
      <w:r>
        <w:rPr>
          <w:rFonts w:hint="cs"/>
          <w:sz w:val="26"/>
          <w:szCs w:val="26"/>
          <w:rtl/>
        </w:rPr>
        <w:t xml:space="preserve">מוכן המשיב </w:t>
      </w:r>
      <w:r w:rsidR="00E871A4">
        <w:rPr>
          <w:rFonts w:hint="cs"/>
          <w:sz w:val="26"/>
          <w:szCs w:val="26"/>
          <w:rtl/>
        </w:rPr>
        <w:t xml:space="preserve">לדלג </w:t>
      </w:r>
      <w:r>
        <w:rPr>
          <w:rFonts w:hint="cs"/>
          <w:sz w:val="26"/>
          <w:szCs w:val="26"/>
          <w:rtl/>
        </w:rPr>
        <w:t xml:space="preserve">על קיומו של הפרש קבוע, בשל היבט </w:t>
      </w:r>
      <w:r w:rsidRPr="00B61662">
        <w:rPr>
          <w:rFonts w:hint="cs"/>
          <w:b/>
          <w:bCs/>
          <w:sz w:val="26"/>
          <w:szCs w:val="26"/>
          <w:rtl/>
        </w:rPr>
        <w:t>העידוד</w:t>
      </w:r>
      <w:r>
        <w:rPr>
          <w:rFonts w:hint="cs"/>
          <w:sz w:val="26"/>
          <w:szCs w:val="26"/>
          <w:rtl/>
        </w:rPr>
        <w:t xml:space="preserve"> וההטבה. </w:t>
      </w:r>
    </w:p>
    <w:p w:rsidR="0068684D" w:rsidRDefault="0068684D" w:rsidP="009918E8">
      <w:pPr>
        <w:pStyle w:val="ac"/>
        <w:spacing w:line="360" w:lineRule="auto"/>
        <w:ind w:left="757" w:right="-454"/>
        <w:jc w:val="both"/>
        <w:rPr>
          <w:sz w:val="26"/>
          <w:szCs w:val="26"/>
          <w:rtl/>
        </w:rPr>
      </w:pPr>
    </w:p>
    <w:p w:rsidR="0068684D" w:rsidRDefault="0068684D" w:rsidP="00221C09">
      <w:pPr>
        <w:pStyle w:val="ac"/>
        <w:numPr>
          <w:ilvl w:val="0"/>
          <w:numId w:val="2"/>
        </w:numPr>
        <w:spacing w:line="360" w:lineRule="auto"/>
        <w:ind w:left="397" w:right="-454"/>
        <w:jc w:val="both"/>
        <w:rPr>
          <w:sz w:val="26"/>
          <w:szCs w:val="26"/>
          <w:rtl/>
        </w:rPr>
      </w:pPr>
      <w:r>
        <w:rPr>
          <w:rFonts w:hint="cs"/>
          <w:sz w:val="26"/>
          <w:szCs w:val="26"/>
          <w:rtl/>
        </w:rPr>
        <w:t>בהמשך סיכומיו</w:t>
      </w:r>
      <w:r w:rsidR="009249FC">
        <w:rPr>
          <w:rFonts w:hint="cs"/>
          <w:sz w:val="26"/>
          <w:szCs w:val="26"/>
          <w:rtl/>
        </w:rPr>
        <w:t>,</w:t>
      </w:r>
      <w:r>
        <w:rPr>
          <w:rFonts w:hint="cs"/>
          <w:sz w:val="26"/>
          <w:szCs w:val="26"/>
          <w:rtl/>
        </w:rPr>
        <w:t xml:space="preserve"> המשיב מחדד את הטיעון ומזהה כאבן הבוחן את </w:t>
      </w:r>
      <w:r w:rsidRPr="009249FC">
        <w:rPr>
          <w:rFonts w:hint="cs"/>
          <w:b/>
          <w:bCs/>
          <w:sz w:val="26"/>
          <w:szCs w:val="26"/>
          <w:rtl/>
        </w:rPr>
        <w:t>סעיף 17 רישא</w:t>
      </w:r>
      <w:r>
        <w:rPr>
          <w:rFonts w:hint="cs"/>
          <w:sz w:val="26"/>
          <w:szCs w:val="26"/>
          <w:rtl/>
        </w:rPr>
        <w:t xml:space="preserve"> לפקודה:</w:t>
      </w:r>
    </w:p>
    <w:p w:rsidR="009249FC" w:rsidRDefault="009249FC" w:rsidP="009249FC">
      <w:pPr>
        <w:pStyle w:val="ac"/>
        <w:spacing w:line="360" w:lineRule="auto"/>
        <w:ind w:left="1134" w:right="567"/>
        <w:jc w:val="both"/>
        <w:rPr>
          <w:b/>
          <w:bCs/>
          <w:sz w:val="26"/>
          <w:szCs w:val="26"/>
          <w:rtl/>
        </w:rPr>
      </w:pPr>
    </w:p>
    <w:p w:rsidR="0068684D" w:rsidRDefault="009249FC" w:rsidP="009249FC">
      <w:pPr>
        <w:pStyle w:val="ac"/>
        <w:spacing w:line="360" w:lineRule="auto"/>
        <w:ind w:left="1134" w:right="567"/>
        <w:jc w:val="both"/>
        <w:rPr>
          <w:b/>
          <w:bCs/>
          <w:sz w:val="26"/>
          <w:szCs w:val="26"/>
          <w:rtl/>
        </w:rPr>
      </w:pPr>
      <w:r>
        <w:rPr>
          <w:rFonts w:hint="cs"/>
          <w:b/>
          <w:bCs/>
          <w:sz w:val="26"/>
          <w:szCs w:val="26"/>
          <w:rtl/>
        </w:rPr>
        <w:t>"באותם מקרים, בהם ההכנסה החייבת נמוכה מהרווח החשבונאי, כתוצאה מהתרת הוצאות לצרכי מס בלבד, הרי כפי ששנינו לעיל, יש לבחון את טיב ההוצאה וטיב ה'חוסר המיסויי'. ככל שההוצאה הותרה מתוך מטרה לעודד פעילות או ליתן הטבה כלשהי ואינה נכנסת בגדר סעיף 17 רישא לפקודה (כמו הוצאות הנפקה בחברה תעשייתית, אליהן התייחסנו לעיל), הרי שהוצאה זו לא</w:t>
      </w:r>
      <w:r w:rsidR="00E871A4">
        <w:rPr>
          <w:rFonts w:hint="cs"/>
          <w:b/>
          <w:bCs/>
          <w:sz w:val="26"/>
          <w:szCs w:val="26"/>
          <w:rtl/>
        </w:rPr>
        <w:t xml:space="preserve"> </w:t>
      </w:r>
      <w:r w:rsidR="00E871A4" w:rsidRPr="00E871A4">
        <w:rPr>
          <w:rFonts w:hint="cs"/>
          <w:sz w:val="26"/>
          <w:szCs w:val="26"/>
          <w:rtl/>
        </w:rPr>
        <w:t xml:space="preserve">[כך במקור </w:t>
      </w:r>
      <w:r w:rsidR="00E871A4" w:rsidRPr="00E871A4">
        <w:rPr>
          <w:sz w:val="26"/>
          <w:szCs w:val="26"/>
          <w:rtl/>
        </w:rPr>
        <w:t>–</w:t>
      </w:r>
      <w:r w:rsidR="00E871A4" w:rsidRPr="00E871A4">
        <w:rPr>
          <w:rFonts w:hint="cs"/>
          <w:sz w:val="26"/>
          <w:szCs w:val="26"/>
          <w:rtl/>
        </w:rPr>
        <w:t xml:space="preserve"> ה"ק]</w:t>
      </w:r>
      <w:r>
        <w:rPr>
          <w:rFonts w:hint="cs"/>
          <w:b/>
          <w:bCs/>
          <w:sz w:val="26"/>
          <w:szCs w:val="26"/>
          <w:rtl/>
        </w:rPr>
        <w:t xml:space="preserve"> תבוא בחישוב הרווח המותר לחלוקה פטורה מכח סעיף 126(ב) לפקודה. זאת, על מנת שלא לאיין את ההטבה שביקש המחוקק ליתן. </w:t>
      </w:r>
    </w:p>
    <w:p w:rsidR="009249FC" w:rsidRDefault="009249FC" w:rsidP="004C77A1">
      <w:pPr>
        <w:pStyle w:val="ac"/>
        <w:spacing w:line="360" w:lineRule="auto"/>
        <w:ind w:left="1134" w:right="567"/>
        <w:jc w:val="both"/>
        <w:rPr>
          <w:b/>
          <w:bCs/>
          <w:sz w:val="26"/>
          <w:szCs w:val="26"/>
          <w:rtl/>
        </w:rPr>
      </w:pPr>
      <w:r>
        <w:rPr>
          <w:rFonts w:hint="cs"/>
          <w:b/>
          <w:bCs/>
          <w:sz w:val="26"/>
          <w:szCs w:val="26"/>
          <w:rtl/>
        </w:rPr>
        <w:t xml:space="preserve">אולם, מקום שמדובר בהוצאה הנכנסת בגדר סעיף 17 לפקודה ולא נועדה לעודד פעילות כלשהי או להעניק הטבה, יש לבחון את טיב ה'חסר המיסויי' שנוצר. ככל שמדובר ב'חוסר זמני' אשר </w:t>
      </w:r>
      <w:r w:rsidR="004C77A1">
        <w:rPr>
          <w:rFonts w:hint="cs"/>
          <w:b/>
          <w:bCs/>
          <w:sz w:val="26"/>
          <w:szCs w:val="26"/>
          <w:rtl/>
        </w:rPr>
        <w:t>הינו בגדר הפרש עיתוי שדינו להתהפך בהכרח ברבות הימים, יחול סעיף 126(ב) לפקודה על כלל הרווח החשבונאי, על אף הפרש זה. לעומת זאת, ככל שמדובר ב'חוסר מותנה', בו השלמת המיסוי החסר במודל הדו שלבי תלויה ברצונו ובמעשיו של הנישום עצמו או של אדם הקשור אליו או בשליטתו, לא יבוא הפרש זה בחישוב הרווח המותר לחלוקה פטורה מכח סעיף 126(ב) לפקודה, כפי שסברנו לעיל."</w:t>
      </w:r>
    </w:p>
    <w:p w:rsidR="004C77A1" w:rsidRPr="004C77A1" w:rsidRDefault="004C77A1" w:rsidP="004C77A1">
      <w:pPr>
        <w:pStyle w:val="ac"/>
        <w:spacing w:line="360" w:lineRule="auto"/>
        <w:ind w:left="1134" w:right="567"/>
        <w:jc w:val="both"/>
        <w:rPr>
          <w:sz w:val="26"/>
          <w:szCs w:val="26"/>
          <w:rtl/>
        </w:rPr>
      </w:pPr>
      <w:r>
        <w:rPr>
          <w:rFonts w:hint="cs"/>
          <w:sz w:val="26"/>
          <w:szCs w:val="26"/>
          <w:rtl/>
        </w:rPr>
        <w:t>(סעיף 107, שם)</w:t>
      </w:r>
    </w:p>
    <w:p w:rsidR="0068684D" w:rsidRDefault="0068684D" w:rsidP="009918E8">
      <w:pPr>
        <w:pStyle w:val="ac"/>
        <w:spacing w:line="360" w:lineRule="auto"/>
        <w:ind w:left="757" w:right="-454"/>
        <w:jc w:val="both"/>
        <w:rPr>
          <w:sz w:val="26"/>
          <w:szCs w:val="26"/>
          <w:rtl/>
        </w:rPr>
      </w:pPr>
    </w:p>
    <w:p w:rsidR="00261240" w:rsidRDefault="0068684D" w:rsidP="00292E23">
      <w:pPr>
        <w:pStyle w:val="ac"/>
        <w:spacing w:line="360" w:lineRule="auto"/>
        <w:ind w:left="397" w:right="-454"/>
        <w:jc w:val="both"/>
        <w:rPr>
          <w:sz w:val="26"/>
          <w:szCs w:val="26"/>
        </w:rPr>
      </w:pPr>
      <w:r>
        <w:rPr>
          <w:rFonts w:hint="cs"/>
          <w:sz w:val="26"/>
          <w:szCs w:val="26"/>
          <w:rtl/>
        </w:rPr>
        <w:t xml:space="preserve">אמור מעתה, אם סוג הוצאה </w:t>
      </w:r>
      <w:r w:rsidRPr="00E871A4">
        <w:rPr>
          <w:rFonts w:hint="cs"/>
          <w:b/>
          <w:bCs/>
          <w:sz w:val="26"/>
          <w:szCs w:val="26"/>
          <w:rtl/>
        </w:rPr>
        <w:t>איננו</w:t>
      </w:r>
      <w:r>
        <w:rPr>
          <w:rFonts w:hint="cs"/>
          <w:sz w:val="26"/>
          <w:szCs w:val="26"/>
          <w:rtl/>
        </w:rPr>
        <w:t xml:space="preserve"> מותר בניכוי </w:t>
      </w:r>
      <w:r w:rsidR="00221C09">
        <w:rPr>
          <w:rFonts w:hint="cs"/>
          <w:sz w:val="26"/>
          <w:szCs w:val="26"/>
          <w:rtl/>
        </w:rPr>
        <w:t>בהתאם לעקרונות</w:t>
      </w:r>
      <w:r>
        <w:rPr>
          <w:rFonts w:hint="cs"/>
          <w:sz w:val="26"/>
          <w:szCs w:val="26"/>
          <w:rtl/>
        </w:rPr>
        <w:t xml:space="preserve"> סעיף 17 רישא לפקודה אך בפועל</w:t>
      </w:r>
      <w:r w:rsidR="00292E23">
        <w:rPr>
          <w:rFonts w:hint="cs"/>
          <w:sz w:val="26"/>
          <w:szCs w:val="26"/>
          <w:rtl/>
        </w:rPr>
        <w:t xml:space="preserve"> </w:t>
      </w:r>
      <w:r w:rsidR="00292E23" w:rsidRPr="00E871A4">
        <w:rPr>
          <w:rFonts w:hint="cs"/>
          <w:b/>
          <w:bCs/>
          <w:sz w:val="26"/>
          <w:szCs w:val="26"/>
          <w:rtl/>
        </w:rPr>
        <w:t>ניתן</w:t>
      </w:r>
      <w:r w:rsidR="00292E23">
        <w:rPr>
          <w:rFonts w:hint="cs"/>
          <w:sz w:val="26"/>
          <w:szCs w:val="26"/>
          <w:rtl/>
        </w:rPr>
        <w:t xml:space="preserve"> לנכותו</w:t>
      </w:r>
      <w:r w:rsidR="00E871A4">
        <w:rPr>
          <w:rFonts w:hint="cs"/>
          <w:sz w:val="26"/>
          <w:szCs w:val="26"/>
          <w:rtl/>
        </w:rPr>
        <w:t xml:space="preserve"> בזכות ח</w:t>
      </w:r>
      <w:r w:rsidR="002200C0">
        <w:rPr>
          <w:rFonts w:hint="cs"/>
          <w:sz w:val="26"/>
          <w:szCs w:val="26"/>
          <w:rtl/>
        </w:rPr>
        <w:t>קי</w:t>
      </w:r>
      <w:r>
        <w:rPr>
          <w:rFonts w:hint="cs"/>
          <w:sz w:val="26"/>
          <w:szCs w:val="26"/>
          <w:rtl/>
        </w:rPr>
        <w:t>ק</w:t>
      </w:r>
      <w:r w:rsidR="002200C0">
        <w:rPr>
          <w:rFonts w:hint="cs"/>
          <w:sz w:val="26"/>
          <w:szCs w:val="26"/>
          <w:rtl/>
        </w:rPr>
        <w:t>ת עידוד</w:t>
      </w:r>
      <w:r>
        <w:rPr>
          <w:rFonts w:hint="cs"/>
          <w:sz w:val="26"/>
          <w:szCs w:val="26"/>
          <w:rtl/>
        </w:rPr>
        <w:t xml:space="preserve"> מיוחד</w:t>
      </w:r>
      <w:r w:rsidR="002200C0">
        <w:rPr>
          <w:rFonts w:hint="cs"/>
          <w:sz w:val="26"/>
          <w:szCs w:val="26"/>
          <w:rtl/>
        </w:rPr>
        <w:t>ת</w:t>
      </w:r>
      <w:r>
        <w:rPr>
          <w:rFonts w:hint="cs"/>
          <w:sz w:val="26"/>
          <w:szCs w:val="26"/>
          <w:rtl/>
        </w:rPr>
        <w:t xml:space="preserve">, אזי </w:t>
      </w:r>
      <w:r w:rsidR="00B61662">
        <w:rPr>
          <w:rFonts w:hint="cs"/>
          <w:sz w:val="26"/>
          <w:szCs w:val="26"/>
          <w:rtl/>
        </w:rPr>
        <w:t xml:space="preserve">לגישת המשיב </w:t>
      </w:r>
      <w:r>
        <w:rPr>
          <w:rFonts w:hint="cs"/>
          <w:sz w:val="26"/>
          <w:szCs w:val="26"/>
          <w:rtl/>
        </w:rPr>
        <w:t xml:space="preserve">הפרש בין הרווח </w:t>
      </w:r>
      <w:r>
        <w:rPr>
          <w:rFonts w:hint="cs"/>
          <w:sz w:val="26"/>
          <w:szCs w:val="26"/>
          <w:rtl/>
        </w:rPr>
        <w:lastRenderedPageBreak/>
        <w:t>החשבונאי ובין ההכנ</w:t>
      </w:r>
      <w:r w:rsidR="00B61662">
        <w:rPr>
          <w:rFonts w:hint="cs"/>
          <w:sz w:val="26"/>
          <w:szCs w:val="26"/>
          <w:rtl/>
        </w:rPr>
        <w:t>ס</w:t>
      </w:r>
      <w:r>
        <w:rPr>
          <w:rFonts w:hint="cs"/>
          <w:sz w:val="26"/>
          <w:szCs w:val="26"/>
          <w:rtl/>
        </w:rPr>
        <w:t xml:space="preserve">ה החייבת הנובע מהוצאה מסוג זה </w:t>
      </w:r>
      <w:r w:rsidRPr="00292E23">
        <w:rPr>
          <w:rFonts w:hint="cs"/>
          <w:b/>
          <w:bCs/>
          <w:sz w:val="26"/>
          <w:szCs w:val="26"/>
          <w:rtl/>
        </w:rPr>
        <w:t>י</w:t>
      </w:r>
      <w:r w:rsidR="00B61662" w:rsidRPr="00292E23">
        <w:rPr>
          <w:rFonts w:hint="cs"/>
          <w:b/>
          <w:bCs/>
          <w:sz w:val="26"/>
          <w:szCs w:val="26"/>
          <w:rtl/>
        </w:rPr>
        <w:t>כול</w:t>
      </w:r>
      <w:r w:rsidR="00B61662">
        <w:rPr>
          <w:rFonts w:hint="cs"/>
          <w:sz w:val="26"/>
          <w:szCs w:val="26"/>
          <w:rtl/>
        </w:rPr>
        <w:t xml:space="preserve"> להיות מחולק כדיבידנד עליו י</w:t>
      </w:r>
      <w:r>
        <w:rPr>
          <w:rFonts w:hint="cs"/>
          <w:sz w:val="26"/>
          <w:szCs w:val="26"/>
          <w:rtl/>
        </w:rPr>
        <w:t xml:space="preserve">חול סעיף 126(ב) אצל החברה המקבלת. </w:t>
      </w:r>
      <w:r w:rsidR="00261240">
        <w:rPr>
          <w:rFonts w:hint="cs"/>
          <w:sz w:val="26"/>
          <w:szCs w:val="26"/>
          <w:rtl/>
        </w:rPr>
        <w:t xml:space="preserve"> </w:t>
      </w:r>
    </w:p>
    <w:p w:rsidR="009918E8" w:rsidRDefault="009918E8" w:rsidP="007B7DEE">
      <w:pPr>
        <w:pStyle w:val="ac"/>
        <w:spacing w:line="360" w:lineRule="auto"/>
        <w:ind w:left="757" w:right="-454"/>
        <w:jc w:val="both"/>
        <w:rPr>
          <w:sz w:val="26"/>
          <w:szCs w:val="26"/>
          <w:rtl/>
        </w:rPr>
      </w:pPr>
    </w:p>
    <w:p w:rsidR="00731CB6" w:rsidRDefault="007B7DEE" w:rsidP="00221C09">
      <w:pPr>
        <w:pStyle w:val="ac"/>
        <w:numPr>
          <w:ilvl w:val="0"/>
          <w:numId w:val="2"/>
        </w:numPr>
        <w:spacing w:line="360" w:lineRule="auto"/>
        <w:ind w:left="397" w:right="-454"/>
        <w:jc w:val="both"/>
        <w:rPr>
          <w:sz w:val="26"/>
          <w:szCs w:val="26"/>
        </w:rPr>
      </w:pPr>
      <w:r>
        <w:rPr>
          <w:rFonts w:hint="cs"/>
          <w:sz w:val="26"/>
          <w:szCs w:val="26"/>
          <w:rtl/>
        </w:rPr>
        <w:t xml:space="preserve">ודוק: לדידי המשיב, התרת </w:t>
      </w:r>
      <w:r>
        <w:rPr>
          <w:rFonts w:hint="cs"/>
          <w:b/>
          <w:bCs/>
          <w:sz w:val="26"/>
          <w:szCs w:val="26"/>
          <w:rtl/>
        </w:rPr>
        <w:t xml:space="preserve">הוצאות </w:t>
      </w:r>
      <w:r w:rsidRPr="00510BDD">
        <w:rPr>
          <w:rFonts w:hint="cs"/>
          <w:b/>
          <w:bCs/>
          <w:sz w:val="26"/>
          <w:szCs w:val="26"/>
          <w:rtl/>
        </w:rPr>
        <w:t>פחת</w:t>
      </w:r>
      <w:r>
        <w:rPr>
          <w:rFonts w:hint="cs"/>
          <w:sz w:val="26"/>
          <w:szCs w:val="26"/>
          <w:rtl/>
        </w:rPr>
        <w:t xml:space="preserve"> לצרכי מס </w:t>
      </w:r>
      <w:r w:rsidRPr="00510BDD">
        <w:rPr>
          <w:rFonts w:hint="cs"/>
          <w:b/>
          <w:bCs/>
          <w:sz w:val="26"/>
          <w:szCs w:val="26"/>
          <w:rtl/>
        </w:rPr>
        <w:t>איננה</w:t>
      </w:r>
      <w:r>
        <w:rPr>
          <w:rFonts w:hint="cs"/>
          <w:sz w:val="26"/>
          <w:szCs w:val="26"/>
          <w:rtl/>
        </w:rPr>
        <w:t xml:space="preserve"> "מתוך מטרה לעודד פעילות או ליתן הטבה כלשהי":</w:t>
      </w:r>
    </w:p>
    <w:p w:rsidR="007B20B6" w:rsidRPr="00221C09" w:rsidRDefault="007B20B6" w:rsidP="007B20B6">
      <w:pPr>
        <w:pStyle w:val="ac"/>
        <w:spacing w:line="360" w:lineRule="auto"/>
        <w:ind w:left="1134" w:right="567"/>
        <w:jc w:val="both"/>
        <w:rPr>
          <w:b/>
          <w:bCs/>
          <w:sz w:val="26"/>
          <w:szCs w:val="26"/>
          <w:rtl/>
        </w:rPr>
      </w:pPr>
    </w:p>
    <w:p w:rsidR="007B7DEE" w:rsidRPr="007B20B6" w:rsidRDefault="007B20B6" w:rsidP="007B20B6">
      <w:pPr>
        <w:pStyle w:val="ac"/>
        <w:spacing w:line="360" w:lineRule="auto"/>
        <w:ind w:left="1134" w:right="567"/>
        <w:jc w:val="both"/>
        <w:rPr>
          <w:b/>
          <w:bCs/>
          <w:sz w:val="26"/>
          <w:szCs w:val="26"/>
          <w:rtl/>
        </w:rPr>
      </w:pPr>
      <w:r>
        <w:rPr>
          <w:rFonts w:hint="cs"/>
          <w:b/>
          <w:bCs/>
          <w:sz w:val="26"/>
          <w:szCs w:val="26"/>
          <w:rtl/>
        </w:rPr>
        <w:t>"זאת ועוד, בשונה מהוצאות הנפקה, או הכנסה פטורה, כמודגם לעיל, הוצאות פחת הינן הוצאות שוטפות 'רגילות', העומדות בהוראות סעיף 17 רישא לפקודה, ומותרות, ככלל, בניכוי. התרתן אינה מהווה הטבה מיוחדת למי שעומד בתנאי אותה הטבה, או ניסיון לעודד פעילות מסוימת, אלא להקביל בין ההוצאות בגין רכישת הנכס לבין ההכנסות הנובעות ממנו."</w:t>
      </w:r>
    </w:p>
    <w:p w:rsidR="007B7DEE" w:rsidRDefault="007B20B6" w:rsidP="007B7DEE">
      <w:pPr>
        <w:pStyle w:val="ac"/>
        <w:spacing w:line="360" w:lineRule="auto"/>
        <w:ind w:left="397" w:right="-454"/>
        <w:jc w:val="both"/>
        <w:rPr>
          <w:sz w:val="26"/>
          <w:szCs w:val="26"/>
          <w:rtl/>
        </w:rPr>
      </w:pPr>
      <w:r>
        <w:rPr>
          <w:rFonts w:hint="cs"/>
          <w:sz w:val="26"/>
          <w:szCs w:val="26"/>
          <w:rtl/>
        </w:rPr>
        <w:t xml:space="preserve">             </w:t>
      </w:r>
      <w:r w:rsidR="007B7DEE">
        <w:rPr>
          <w:rFonts w:hint="cs"/>
          <w:sz w:val="26"/>
          <w:szCs w:val="26"/>
          <w:rtl/>
        </w:rPr>
        <w:t>(מתוך סעיף 94 לסיכומי המשיב)</w:t>
      </w:r>
    </w:p>
    <w:p w:rsidR="007B7DEE" w:rsidRDefault="007B7DEE" w:rsidP="007B7DEE">
      <w:pPr>
        <w:pStyle w:val="ac"/>
        <w:spacing w:line="360" w:lineRule="auto"/>
        <w:ind w:left="397" w:right="-454"/>
        <w:jc w:val="both"/>
        <w:rPr>
          <w:sz w:val="26"/>
          <w:szCs w:val="26"/>
          <w:rtl/>
        </w:rPr>
      </w:pPr>
    </w:p>
    <w:p w:rsidR="007B7DEE" w:rsidRDefault="007B7DEE" w:rsidP="00510BDD">
      <w:pPr>
        <w:pStyle w:val="ac"/>
        <w:spacing w:line="360" w:lineRule="auto"/>
        <w:ind w:left="397" w:right="-454"/>
        <w:jc w:val="both"/>
        <w:rPr>
          <w:sz w:val="26"/>
          <w:szCs w:val="26"/>
          <w:rtl/>
        </w:rPr>
      </w:pPr>
      <w:r>
        <w:rPr>
          <w:rFonts w:hint="cs"/>
          <w:sz w:val="26"/>
          <w:szCs w:val="26"/>
          <w:rtl/>
        </w:rPr>
        <w:t>מנקודה זו</w:t>
      </w:r>
      <w:r w:rsidR="007B0836">
        <w:rPr>
          <w:rFonts w:hint="cs"/>
          <w:sz w:val="26"/>
          <w:szCs w:val="26"/>
          <w:rtl/>
        </w:rPr>
        <w:t xml:space="preserve"> ממש</w:t>
      </w:r>
      <w:r>
        <w:rPr>
          <w:rFonts w:hint="cs"/>
          <w:sz w:val="26"/>
          <w:szCs w:val="26"/>
          <w:rtl/>
        </w:rPr>
        <w:t xml:space="preserve"> נובעת עמדתו של המשיב בערעור דנן: </w:t>
      </w:r>
      <w:r w:rsidR="00510BDD">
        <w:rPr>
          <w:rFonts w:hint="cs"/>
          <w:sz w:val="26"/>
          <w:szCs w:val="26"/>
          <w:rtl/>
        </w:rPr>
        <w:t xml:space="preserve">קיים </w:t>
      </w:r>
      <w:r>
        <w:rPr>
          <w:rFonts w:hint="cs"/>
          <w:sz w:val="26"/>
          <w:szCs w:val="26"/>
          <w:rtl/>
        </w:rPr>
        <w:t>פער בין החשבונאות ובין המיסוי בנושא הפחת, לא מפני שמותר פחת מוא</w:t>
      </w:r>
      <w:r w:rsidR="00FC07B6">
        <w:rPr>
          <w:rFonts w:hint="cs"/>
          <w:sz w:val="26"/>
          <w:szCs w:val="26"/>
          <w:rtl/>
        </w:rPr>
        <w:t>ץ לצורכי מס (הרי שיעור הפחת הוא רגיל במקרה הנוכחי) אלא מפני שבחשבונאות לא נרשמות הוצאות פחת, וזאת בשל אימוץ מודל השווי ההוגן, כמוסבר</w:t>
      </w:r>
      <w:r w:rsidR="00510BDD">
        <w:rPr>
          <w:rFonts w:hint="cs"/>
          <w:sz w:val="26"/>
          <w:szCs w:val="26"/>
          <w:rtl/>
        </w:rPr>
        <w:t>.</w:t>
      </w:r>
      <w:r w:rsidR="00FC07B6">
        <w:rPr>
          <w:rFonts w:hint="cs"/>
          <w:sz w:val="26"/>
          <w:szCs w:val="26"/>
          <w:rtl/>
        </w:rPr>
        <w:t xml:space="preserve"> ומפני ש</w:t>
      </w:r>
      <w:r w:rsidR="00510BDD">
        <w:rPr>
          <w:rFonts w:hint="cs"/>
          <w:sz w:val="26"/>
          <w:szCs w:val="26"/>
          <w:rtl/>
        </w:rPr>
        <w:t xml:space="preserve">לדעת המשיב </w:t>
      </w:r>
      <w:r w:rsidR="00FC07B6">
        <w:rPr>
          <w:rFonts w:hint="cs"/>
          <w:sz w:val="26"/>
          <w:szCs w:val="26"/>
          <w:rtl/>
        </w:rPr>
        <w:t xml:space="preserve">אין לפנינו "עידוד" או "הטבה" במישור המיסוי, אין כאן מקום לחריג או ליוצא מן הכלל, ולנוכח ההפרש המותנה </w:t>
      </w:r>
      <w:r w:rsidR="00FC07B6">
        <w:rPr>
          <w:sz w:val="26"/>
          <w:szCs w:val="26"/>
          <w:rtl/>
        </w:rPr>
        <w:t>–</w:t>
      </w:r>
      <w:r w:rsidR="00FC07B6">
        <w:rPr>
          <w:rFonts w:hint="cs"/>
          <w:sz w:val="26"/>
          <w:szCs w:val="26"/>
          <w:rtl/>
        </w:rPr>
        <w:t xml:space="preserve"> אשר ייסגר בעתיד רק אם אבנת תחליט למכור את הנדל"ן להשקעה </w:t>
      </w:r>
      <w:r w:rsidR="00FC07B6">
        <w:rPr>
          <w:sz w:val="26"/>
          <w:szCs w:val="26"/>
          <w:rtl/>
        </w:rPr>
        <w:t>–</w:t>
      </w:r>
      <w:r w:rsidR="00FC07B6">
        <w:rPr>
          <w:rFonts w:hint="cs"/>
          <w:sz w:val="26"/>
          <w:szCs w:val="26"/>
          <w:rtl/>
        </w:rPr>
        <w:t xml:space="preserve"> יש לשלול את תחולתו של סעיף 126(ב) אצל המערערת. </w:t>
      </w:r>
    </w:p>
    <w:p w:rsidR="00FC07B6" w:rsidRPr="007B3CF9" w:rsidRDefault="00FC07B6" w:rsidP="007B7DEE">
      <w:pPr>
        <w:pStyle w:val="ac"/>
        <w:spacing w:line="360" w:lineRule="auto"/>
        <w:ind w:left="397" w:right="-454"/>
        <w:jc w:val="both"/>
        <w:rPr>
          <w:sz w:val="26"/>
          <w:szCs w:val="26"/>
        </w:rPr>
      </w:pPr>
    </w:p>
    <w:p w:rsidR="00FC07B6" w:rsidRDefault="00510BDD" w:rsidP="007D35DD">
      <w:pPr>
        <w:pStyle w:val="ac"/>
        <w:numPr>
          <w:ilvl w:val="0"/>
          <w:numId w:val="2"/>
        </w:numPr>
        <w:spacing w:line="360" w:lineRule="auto"/>
        <w:ind w:left="397" w:right="-454"/>
        <w:jc w:val="both"/>
        <w:rPr>
          <w:sz w:val="26"/>
          <w:szCs w:val="26"/>
        </w:rPr>
      </w:pPr>
      <w:r>
        <w:rPr>
          <w:rFonts w:hint="cs"/>
          <w:sz w:val="26"/>
          <w:szCs w:val="26"/>
          <w:rtl/>
        </w:rPr>
        <w:t>ראשית</w:t>
      </w:r>
      <w:r w:rsidR="007B0836">
        <w:rPr>
          <w:rFonts w:hint="cs"/>
          <w:sz w:val="26"/>
          <w:szCs w:val="26"/>
          <w:rtl/>
        </w:rPr>
        <w:t>,</w:t>
      </w:r>
      <w:r>
        <w:rPr>
          <w:rFonts w:hint="cs"/>
          <w:sz w:val="26"/>
          <w:szCs w:val="26"/>
          <w:rtl/>
        </w:rPr>
        <w:t xml:space="preserve"> </w:t>
      </w:r>
      <w:r w:rsidR="00FC07B6">
        <w:rPr>
          <w:rFonts w:hint="cs"/>
          <w:sz w:val="26"/>
          <w:szCs w:val="26"/>
          <w:rtl/>
        </w:rPr>
        <w:t xml:space="preserve">יש לתמוה אם האמירה לפיה </w:t>
      </w:r>
      <w:r w:rsidR="00FC07B6">
        <w:rPr>
          <w:rFonts w:hint="cs"/>
          <w:b/>
          <w:bCs/>
          <w:sz w:val="26"/>
          <w:szCs w:val="26"/>
          <w:rtl/>
        </w:rPr>
        <w:t>"הוצאות פחת הינן הוצאות שוטפות</w:t>
      </w:r>
      <w:r w:rsidR="00311378">
        <w:rPr>
          <w:rFonts w:hint="cs"/>
          <w:b/>
          <w:bCs/>
          <w:sz w:val="26"/>
          <w:szCs w:val="26"/>
          <w:rtl/>
        </w:rPr>
        <w:t xml:space="preserve"> </w:t>
      </w:r>
      <w:r w:rsidR="00FC07B6">
        <w:rPr>
          <w:rFonts w:hint="cs"/>
          <w:b/>
          <w:bCs/>
          <w:sz w:val="26"/>
          <w:szCs w:val="26"/>
          <w:rtl/>
        </w:rPr>
        <w:t>'רגילות' העומדות בהוראות סעיף 17 רישא לפקודה"</w:t>
      </w:r>
      <w:r>
        <w:rPr>
          <w:rFonts w:hint="cs"/>
          <w:sz w:val="26"/>
          <w:szCs w:val="26"/>
          <w:rtl/>
        </w:rPr>
        <w:t xml:space="preserve"> היא אכן מדוי</w:t>
      </w:r>
      <w:r w:rsidR="00FC07B6">
        <w:rPr>
          <w:rFonts w:hint="cs"/>
          <w:sz w:val="26"/>
          <w:szCs w:val="26"/>
          <w:rtl/>
        </w:rPr>
        <w:t xml:space="preserve">קת. </w:t>
      </w:r>
    </w:p>
    <w:p w:rsidR="00311378" w:rsidRPr="00510BDD" w:rsidRDefault="00311378" w:rsidP="00311378">
      <w:pPr>
        <w:pStyle w:val="ac"/>
        <w:spacing w:line="360" w:lineRule="auto"/>
        <w:ind w:left="397" w:right="-454"/>
        <w:jc w:val="both"/>
        <w:rPr>
          <w:sz w:val="26"/>
          <w:szCs w:val="26"/>
        </w:rPr>
      </w:pPr>
    </w:p>
    <w:p w:rsidR="00FC07B6" w:rsidRDefault="00FC07B6" w:rsidP="007D35DD">
      <w:pPr>
        <w:pStyle w:val="ac"/>
        <w:spacing w:line="360" w:lineRule="auto"/>
        <w:ind w:left="397" w:right="-454"/>
        <w:jc w:val="both"/>
        <w:rPr>
          <w:sz w:val="26"/>
          <w:szCs w:val="26"/>
          <w:rtl/>
        </w:rPr>
      </w:pPr>
      <w:r>
        <w:rPr>
          <w:rFonts w:hint="cs"/>
          <w:sz w:val="26"/>
          <w:szCs w:val="26"/>
          <w:rtl/>
        </w:rPr>
        <w:t xml:space="preserve">הרי הפחת איננו אלא </w:t>
      </w:r>
      <w:r>
        <w:rPr>
          <w:rFonts w:hint="cs"/>
          <w:b/>
          <w:bCs/>
          <w:sz w:val="26"/>
          <w:szCs w:val="26"/>
          <w:rtl/>
        </w:rPr>
        <w:t>עלות רכישת הנכס</w:t>
      </w:r>
      <w:r>
        <w:rPr>
          <w:rFonts w:hint="cs"/>
          <w:sz w:val="26"/>
          <w:szCs w:val="26"/>
          <w:rtl/>
        </w:rPr>
        <w:t xml:space="preserve">, המחולקת למנות שנתיות, והוא מותר בניכוי שוטף מכוח הוראות </w:t>
      </w:r>
      <w:r w:rsidRPr="00510BDD">
        <w:rPr>
          <w:rFonts w:hint="cs"/>
          <w:b/>
          <w:bCs/>
          <w:sz w:val="26"/>
          <w:szCs w:val="26"/>
          <w:rtl/>
        </w:rPr>
        <w:t>מפורשות</w:t>
      </w:r>
      <w:r>
        <w:rPr>
          <w:rFonts w:hint="cs"/>
          <w:sz w:val="26"/>
          <w:szCs w:val="26"/>
          <w:rtl/>
        </w:rPr>
        <w:t>, דהיינו סעיפים 17(8), 21, 22 ו- 23 לפקודת מס הכנסה וכן תקנות מס הכנסה (פחת), 1941 אשר תוקפן הוא  מכוח סעיף 21(א) לפקודה</w:t>
      </w:r>
      <w:r w:rsidR="00510BDD">
        <w:rPr>
          <w:rFonts w:hint="cs"/>
          <w:sz w:val="26"/>
          <w:szCs w:val="26"/>
          <w:rtl/>
        </w:rPr>
        <w:t>.</w:t>
      </w:r>
      <w:r w:rsidR="00E71B5F">
        <w:rPr>
          <w:rFonts w:hint="cs"/>
          <w:sz w:val="26"/>
          <w:szCs w:val="26"/>
          <w:rtl/>
        </w:rPr>
        <w:t xml:space="preserve"> כלל לא טריוו</w:t>
      </w:r>
      <w:r>
        <w:rPr>
          <w:rFonts w:hint="cs"/>
          <w:sz w:val="26"/>
          <w:szCs w:val="26"/>
          <w:rtl/>
        </w:rPr>
        <w:t xml:space="preserve">יאלי לומר כי </w:t>
      </w:r>
      <w:r>
        <w:rPr>
          <w:rFonts w:hint="cs"/>
          <w:b/>
          <w:bCs/>
          <w:sz w:val="26"/>
          <w:szCs w:val="26"/>
          <w:rtl/>
        </w:rPr>
        <w:t xml:space="preserve">אלולי </w:t>
      </w:r>
      <w:r w:rsidRPr="00311378">
        <w:rPr>
          <w:rFonts w:hint="cs"/>
          <w:sz w:val="26"/>
          <w:szCs w:val="26"/>
          <w:rtl/>
        </w:rPr>
        <w:t xml:space="preserve">הוראות מפורשות </w:t>
      </w:r>
      <w:r w:rsidR="00510BDD">
        <w:rPr>
          <w:rFonts w:hint="cs"/>
          <w:sz w:val="26"/>
          <w:szCs w:val="26"/>
          <w:rtl/>
        </w:rPr>
        <w:t xml:space="preserve">אלה </w:t>
      </w:r>
      <w:r w:rsidRPr="00311378">
        <w:rPr>
          <w:rFonts w:hint="cs"/>
          <w:sz w:val="26"/>
          <w:szCs w:val="26"/>
          <w:rtl/>
        </w:rPr>
        <w:t>פחת הוא</w:t>
      </w:r>
      <w:r>
        <w:rPr>
          <w:rFonts w:hint="cs"/>
          <w:b/>
          <w:bCs/>
          <w:sz w:val="26"/>
          <w:szCs w:val="26"/>
          <w:rtl/>
        </w:rPr>
        <w:t xml:space="preserve"> </w:t>
      </w:r>
      <w:r w:rsidRPr="00311378">
        <w:rPr>
          <w:rFonts w:hint="cs"/>
          <w:sz w:val="26"/>
          <w:szCs w:val="26"/>
          <w:rtl/>
        </w:rPr>
        <w:t>"</w:t>
      </w:r>
      <w:r w:rsidR="00317FF3">
        <w:rPr>
          <w:rFonts w:hint="cs"/>
          <w:sz w:val="26"/>
          <w:szCs w:val="26"/>
          <w:rtl/>
        </w:rPr>
        <w:t>הוצאה שוטפת רגילה המותר ככלל בני</w:t>
      </w:r>
      <w:r w:rsidRPr="00311378">
        <w:rPr>
          <w:rFonts w:hint="cs"/>
          <w:sz w:val="26"/>
          <w:szCs w:val="26"/>
          <w:rtl/>
        </w:rPr>
        <w:t>כוי"</w:t>
      </w:r>
      <w:r>
        <w:rPr>
          <w:rFonts w:hint="cs"/>
          <w:b/>
          <w:bCs/>
          <w:sz w:val="26"/>
          <w:szCs w:val="26"/>
          <w:rtl/>
        </w:rPr>
        <w:t xml:space="preserve"> </w:t>
      </w:r>
      <w:r w:rsidRPr="00311378">
        <w:rPr>
          <w:rFonts w:hint="cs"/>
          <w:sz w:val="26"/>
          <w:szCs w:val="26"/>
          <w:rtl/>
        </w:rPr>
        <w:t>(והשוו</w:t>
      </w:r>
      <w:r w:rsidR="00E71B5F">
        <w:rPr>
          <w:rFonts w:hint="cs"/>
          <w:sz w:val="26"/>
          <w:szCs w:val="26"/>
          <w:rtl/>
        </w:rPr>
        <w:t xml:space="preserve"> למשל</w:t>
      </w:r>
      <w:r w:rsidRPr="00311378">
        <w:rPr>
          <w:rFonts w:hint="cs"/>
          <w:sz w:val="26"/>
          <w:szCs w:val="26"/>
          <w:rtl/>
        </w:rPr>
        <w:t xml:space="preserve"> עמדתה העיקשת של רשות המסים, על פני שנים, כי בהעדר הוראה </w:t>
      </w:r>
      <w:r w:rsidR="00311378">
        <w:rPr>
          <w:rFonts w:hint="cs"/>
          <w:sz w:val="26"/>
          <w:szCs w:val="26"/>
          <w:rtl/>
        </w:rPr>
        <w:t>מפורשת בנושא</w:t>
      </w:r>
      <w:r w:rsidR="007B0836">
        <w:rPr>
          <w:rFonts w:hint="cs"/>
          <w:sz w:val="26"/>
          <w:szCs w:val="26"/>
          <w:rtl/>
        </w:rPr>
        <w:t>,</w:t>
      </w:r>
      <w:r w:rsidR="00311378">
        <w:rPr>
          <w:rFonts w:hint="cs"/>
          <w:sz w:val="26"/>
          <w:szCs w:val="26"/>
          <w:rtl/>
        </w:rPr>
        <w:t xml:space="preserve"> אין אפשרות להפחית את עלות רכישתם של נכסים בלתי מוחשיים). </w:t>
      </w:r>
    </w:p>
    <w:p w:rsidR="00E71B5F" w:rsidRDefault="00E71B5F" w:rsidP="007D35DD">
      <w:pPr>
        <w:pStyle w:val="ac"/>
        <w:spacing w:line="360" w:lineRule="auto"/>
        <w:ind w:left="397" w:right="-454"/>
        <w:jc w:val="both"/>
        <w:rPr>
          <w:sz w:val="26"/>
          <w:szCs w:val="26"/>
          <w:rtl/>
        </w:rPr>
      </w:pPr>
    </w:p>
    <w:p w:rsidR="00E71B5F" w:rsidRDefault="00E71B5F" w:rsidP="007D35DD">
      <w:pPr>
        <w:pStyle w:val="ac"/>
        <w:spacing w:line="360" w:lineRule="auto"/>
        <w:ind w:left="397" w:right="-454"/>
        <w:jc w:val="both"/>
        <w:rPr>
          <w:sz w:val="26"/>
          <w:szCs w:val="26"/>
          <w:rtl/>
        </w:rPr>
      </w:pPr>
      <w:r>
        <w:rPr>
          <w:rFonts w:hint="cs"/>
          <w:sz w:val="26"/>
          <w:szCs w:val="26"/>
          <w:rtl/>
        </w:rPr>
        <w:lastRenderedPageBreak/>
        <w:t xml:space="preserve">עוד בע"א 406/72 </w:t>
      </w:r>
      <w:r>
        <w:rPr>
          <w:rFonts w:hint="cs"/>
          <w:b/>
          <w:bCs/>
          <w:sz w:val="26"/>
          <w:szCs w:val="26"/>
          <w:rtl/>
        </w:rPr>
        <w:t>קולנוע רינה בחולון בע"מ נ' פקיד שומה תל אביב 3</w:t>
      </w:r>
      <w:r w:rsidRPr="00E71B5F">
        <w:rPr>
          <w:rFonts w:hint="cs"/>
          <w:sz w:val="26"/>
          <w:szCs w:val="26"/>
          <w:rtl/>
        </w:rPr>
        <w:t>,</w:t>
      </w:r>
      <w:r>
        <w:rPr>
          <w:rFonts w:hint="cs"/>
          <w:sz w:val="26"/>
          <w:szCs w:val="26"/>
          <w:rtl/>
        </w:rPr>
        <w:t xml:space="preserve"> ניתן ביום 12.8.1973, הטעים כבוד השופט לנדוי כלהלן: </w:t>
      </w:r>
    </w:p>
    <w:p w:rsidR="00E71B5F" w:rsidRDefault="00E71B5F" w:rsidP="007D35DD">
      <w:pPr>
        <w:pStyle w:val="ac"/>
        <w:spacing w:line="360" w:lineRule="auto"/>
        <w:ind w:left="397" w:right="-454"/>
        <w:jc w:val="both"/>
        <w:rPr>
          <w:sz w:val="26"/>
          <w:szCs w:val="26"/>
          <w:rtl/>
        </w:rPr>
      </w:pPr>
    </w:p>
    <w:p w:rsidR="00E71B5F" w:rsidRPr="00E71B5F" w:rsidRDefault="00E71B5F" w:rsidP="0005317B">
      <w:pPr>
        <w:pStyle w:val="ac"/>
        <w:spacing w:line="360" w:lineRule="auto"/>
        <w:ind w:left="1134" w:right="567"/>
        <w:jc w:val="both"/>
        <w:rPr>
          <w:b/>
          <w:bCs/>
          <w:sz w:val="26"/>
          <w:szCs w:val="26"/>
          <w:rtl/>
        </w:rPr>
      </w:pPr>
      <w:r>
        <w:rPr>
          <w:rFonts w:hint="cs"/>
          <w:b/>
          <w:bCs/>
          <w:sz w:val="26"/>
          <w:szCs w:val="26"/>
          <w:rtl/>
        </w:rPr>
        <w:t>"</w:t>
      </w:r>
      <w:r w:rsidR="00F4524C">
        <w:rPr>
          <w:rFonts w:hint="cs"/>
          <w:b/>
          <w:bCs/>
          <w:sz w:val="26"/>
          <w:szCs w:val="26"/>
          <w:rtl/>
        </w:rPr>
        <w:t>רשימת הסעיפים הקטנים של סעיף 17</w:t>
      </w:r>
      <w:r w:rsidR="00E463C5">
        <w:rPr>
          <w:rFonts w:hint="cs"/>
          <w:b/>
          <w:bCs/>
          <w:sz w:val="26"/>
          <w:szCs w:val="26"/>
          <w:rtl/>
        </w:rPr>
        <w:t xml:space="preserve"> פותחת במלת הקישור 'לרבות' </w:t>
      </w:r>
      <w:r>
        <w:rPr>
          <w:rFonts w:hint="cs"/>
          <w:b/>
          <w:bCs/>
          <w:sz w:val="26"/>
          <w:szCs w:val="26"/>
          <w:rtl/>
        </w:rPr>
        <w:t>... שהיא יכולה לסמן אחת מהשתיים: שהמקרים אשר ברשימה כלולים ממילא בעקרון הכללי שברישא והם נאמרו מפורשות רק לשם יתר בהירות, או שהם ב</w:t>
      </w:r>
      <w:r w:rsidR="00F4524C">
        <w:rPr>
          <w:rFonts w:hint="cs"/>
          <w:b/>
          <w:bCs/>
          <w:sz w:val="26"/>
          <w:szCs w:val="26"/>
          <w:rtl/>
        </w:rPr>
        <w:t>אי</w:t>
      </w:r>
      <w:r>
        <w:rPr>
          <w:rFonts w:hint="cs"/>
          <w:b/>
          <w:bCs/>
          <w:sz w:val="26"/>
          <w:szCs w:val="26"/>
          <w:rtl/>
        </w:rPr>
        <w:t xml:space="preserve">ם להוסיף על המשתמע מן העקרון הכללי. הענינים המפורטים ברשימת הסעיפים הקטנים </w:t>
      </w:r>
      <w:r w:rsidR="00F86CF5" w:rsidRPr="00F86CF5">
        <w:rPr>
          <w:rFonts w:hint="cs"/>
          <w:sz w:val="26"/>
          <w:szCs w:val="26"/>
          <w:rtl/>
        </w:rPr>
        <w:t xml:space="preserve">[של סעיף 17 </w:t>
      </w:r>
      <w:r w:rsidR="00F86CF5" w:rsidRPr="00F86CF5">
        <w:rPr>
          <w:sz w:val="26"/>
          <w:szCs w:val="26"/>
          <w:rtl/>
        </w:rPr>
        <w:t>–</w:t>
      </w:r>
      <w:r w:rsidR="00F86CF5" w:rsidRPr="00F86CF5">
        <w:rPr>
          <w:rFonts w:hint="cs"/>
          <w:sz w:val="26"/>
          <w:szCs w:val="26"/>
          <w:rtl/>
        </w:rPr>
        <w:t xml:space="preserve"> ה"ק]</w:t>
      </w:r>
      <w:r w:rsidR="00F86CF5">
        <w:rPr>
          <w:rFonts w:hint="cs"/>
          <w:b/>
          <w:bCs/>
          <w:sz w:val="26"/>
          <w:szCs w:val="26"/>
          <w:rtl/>
        </w:rPr>
        <w:t xml:space="preserve"> </w:t>
      </w:r>
      <w:r>
        <w:rPr>
          <w:rFonts w:hint="cs"/>
          <w:b/>
          <w:bCs/>
          <w:sz w:val="26"/>
          <w:szCs w:val="26"/>
          <w:rtl/>
        </w:rPr>
        <w:t>אינם מגלים גישה אחידה של המחוקק; יש בהם ענינים שאפשר היה לראות בהם הוצאות אשר הוצאו ביצור ההכנסה, גם אלמלא הפירוט... יש מקרי גבול שמיונם היה קשה אלמלא ההוראה המפור</w:t>
      </w:r>
      <w:r w:rsidR="00F4524C">
        <w:rPr>
          <w:rFonts w:hint="cs"/>
          <w:b/>
          <w:bCs/>
          <w:sz w:val="26"/>
          <w:szCs w:val="26"/>
          <w:rtl/>
        </w:rPr>
        <w:t>ש</w:t>
      </w:r>
      <w:r>
        <w:rPr>
          <w:rFonts w:hint="cs"/>
          <w:b/>
          <w:bCs/>
          <w:sz w:val="26"/>
          <w:szCs w:val="26"/>
          <w:rtl/>
        </w:rPr>
        <w:t>ת... וישנם גם כאלה שכרגיל לא היינו מ</w:t>
      </w:r>
      <w:r w:rsidR="00F86CF5">
        <w:rPr>
          <w:rFonts w:hint="cs"/>
          <w:b/>
          <w:bCs/>
          <w:sz w:val="26"/>
          <w:szCs w:val="26"/>
          <w:rtl/>
        </w:rPr>
        <w:t>מיינ</w:t>
      </w:r>
      <w:r>
        <w:rPr>
          <w:rFonts w:hint="cs"/>
          <w:b/>
          <w:bCs/>
          <w:sz w:val="26"/>
          <w:szCs w:val="26"/>
          <w:rtl/>
        </w:rPr>
        <w:t>ים אותם כהוצאות ליצור ההכנסה אלמלא ההוראה המפורשת שבסעיף 17, כגון ס"ק (4) בדבר חובות רעים, וס"ק (8) (ניכוי בעד פחת). באלה האחרונים באה ההוראה הספציפית להוסיף על העקרון הכלל</w:t>
      </w:r>
      <w:r w:rsidR="00C36BBB">
        <w:rPr>
          <w:rFonts w:hint="cs"/>
          <w:b/>
          <w:bCs/>
          <w:sz w:val="26"/>
          <w:szCs w:val="26"/>
          <w:rtl/>
        </w:rPr>
        <w:t>י ולהרחי</w:t>
      </w:r>
      <w:r w:rsidR="00F4524C">
        <w:rPr>
          <w:rFonts w:hint="cs"/>
          <w:b/>
          <w:bCs/>
          <w:sz w:val="26"/>
          <w:szCs w:val="26"/>
          <w:rtl/>
        </w:rPr>
        <w:t xml:space="preserve">בו, ולו גם תוך מידה של חריגה מן העקרון עצמו,  במצוות המחוקק." </w:t>
      </w:r>
    </w:p>
    <w:p w:rsidR="00311378" w:rsidRDefault="00311378" w:rsidP="00FC07B6">
      <w:pPr>
        <w:pStyle w:val="ac"/>
        <w:spacing w:line="360" w:lineRule="auto"/>
        <w:ind w:left="397" w:right="-454"/>
        <w:jc w:val="both"/>
        <w:rPr>
          <w:sz w:val="26"/>
          <w:szCs w:val="26"/>
          <w:rtl/>
        </w:rPr>
      </w:pPr>
    </w:p>
    <w:p w:rsidR="00F4524C" w:rsidRDefault="00F4524C" w:rsidP="002C147B">
      <w:pPr>
        <w:pStyle w:val="ac"/>
        <w:spacing w:line="360" w:lineRule="auto"/>
        <w:ind w:left="397" w:right="-454"/>
        <w:jc w:val="both"/>
        <w:rPr>
          <w:sz w:val="26"/>
          <w:szCs w:val="26"/>
          <w:rtl/>
        </w:rPr>
      </w:pPr>
    </w:p>
    <w:p w:rsidR="00E36513" w:rsidRDefault="00F4524C" w:rsidP="00E36513">
      <w:pPr>
        <w:pStyle w:val="ac"/>
        <w:spacing w:line="360" w:lineRule="auto"/>
        <w:ind w:left="397" w:right="-454"/>
        <w:jc w:val="both"/>
        <w:rPr>
          <w:sz w:val="26"/>
          <w:szCs w:val="26"/>
          <w:rtl/>
        </w:rPr>
      </w:pPr>
      <w:r>
        <w:rPr>
          <w:rFonts w:hint="cs"/>
          <w:sz w:val="26"/>
          <w:szCs w:val="26"/>
          <w:rtl/>
        </w:rPr>
        <w:t>והנה על רקע</w:t>
      </w:r>
      <w:r w:rsidR="00E36513">
        <w:rPr>
          <w:rFonts w:hint="cs"/>
          <w:sz w:val="26"/>
          <w:szCs w:val="26"/>
          <w:rtl/>
        </w:rPr>
        <w:t xml:space="preserve"> פסיקה זו מעלה המלומד אמנון רפאל</w:t>
      </w:r>
      <w:r w:rsidR="00F86CF5">
        <w:rPr>
          <w:rFonts w:hint="cs"/>
          <w:sz w:val="26"/>
          <w:szCs w:val="26"/>
          <w:rtl/>
        </w:rPr>
        <w:t xml:space="preserve"> תהיי</w:t>
      </w:r>
      <w:r>
        <w:rPr>
          <w:rFonts w:hint="cs"/>
          <w:sz w:val="26"/>
          <w:szCs w:val="26"/>
          <w:rtl/>
        </w:rPr>
        <w:t xml:space="preserve">ה זו: </w:t>
      </w:r>
      <w:r>
        <w:rPr>
          <w:rFonts w:hint="cs"/>
          <w:b/>
          <w:bCs/>
          <w:sz w:val="26"/>
          <w:szCs w:val="26"/>
          <w:rtl/>
        </w:rPr>
        <w:t>"השאלה היא, האם לא היה מקום להתיר בנ</w:t>
      </w:r>
      <w:r w:rsidR="00E36513">
        <w:rPr>
          <w:rFonts w:hint="cs"/>
          <w:b/>
          <w:bCs/>
          <w:sz w:val="26"/>
          <w:szCs w:val="26"/>
          <w:rtl/>
        </w:rPr>
        <w:t>יכוי הוצאות כגון אלו המנויות בס</w:t>
      </w:r>
      <w:r>
        <w:rPr>
          <w:rFonts w:hint="cs"/>
          <w:b/>
          <w:bCs/>
          <w:sz w:val="26"/>
          <w:szCs w:val="26"/>
          <w:rtl/>
        </w:rPr>
        <w:t>ע</w:t>
      </w:r>
      <w:r w:rsidR="00E36513">
        <w:rPr>
          <w:rFonts w:hint="cs"/>
          <w:b/>
          <w:bCs/>
          <w:sz w:val="26"/>
          <w:szCs w:val="26"/>
          <w:rtl/>
        </w:rPr>
        <w:t>י</w:t>
      </w:r>
      <w:r>
        <w:rPr>
          <w:rFonts w:hint="cs"/>
          <w:b/>
          <w:bCs/>
          <w:sz w:val="26"/>
          <w:szCs w:val="26"/>
          <w:rtl/>
        </w:rPr>
        <w:t>פים 17(6)-(</w:t>
      </w:r>
      <w:r w:rsidR="00F91CC6">
        <w:rPr>
          <w:rFonts w:hint="cs"/>
          <w:b/>
          <w:bCs/>
          <w:sz w:val="26"/>
          <w:szCs w:val="26"/>
          <w:rtl/>
        </w:rPr>
        <w:t>8), גם ללא הוראה סטטוטורית, אלא</w:t>
      </w:r>
      <w:r>
        <w:rPr>
          <w:rFonts w:hint="cs"/>
          <w:b/>
          <w:bCs/>
          <w:sz w:val="26"/>
          <w:szCs w:val="26"/>
          <w:rtl/>
        </w:rPr>
        <w:t xml:space="preserve"> מכוח עקרון השמירה על ההון הקיים..."</w:t>
      </w:r>
      <w:r>
        <w:rPr>
          <w:rFonts w:hint="cs"/>
          <w:sz w:val="26"/>
          <w:szCs w:val="26"/>
          <w:rtl/>
        </w:rPr>
        <w:t xml:space="preserve"> (רפאל ולזר, </w:t>
      </w:r>
      <w:r w:rsidRPr="00F91CC6">
        <w:rPr>
          <w:rFonts w:hint="cs"/>
          <w:b/>
          <w:bCs/>
          <w:sz w:val="26"/>
          <w:szCs w:val="26"/>
          <w:rtl/>
        </w:rPr>
        <w:t>מס הכנסה</w:t>
      </w:r>
      <w:r>
        <w:rPr>
          <w:rFonts w:hint="cs"/>
          <w:sz w:val="26"/>
          <w:szCs w:val="26"/>
          <w:rtl/>
        </w:rPr>
        <w:t>, כרך ראשון, מהדורה רביעית, הערת שוליים 1929, בעמוד 448</w:t>
      </w:r>
      <w:r w:rsidR="00E36513">
        <w:rPr>
          <w:rFonts w:hint="cs"/>
          <w:sz w:val="26"/>
          <w:szCs w:val="26"/>
          <w:rtl/>
        </w:rPr>
        <w:t>).</w:t>
      </w:r>
      <w:r>
        <w:rPr>
          <w:rFonts w:hint="cs"/>
          <w:sz w:val="26"/>
          <w:szCs w:val="26"/>
          <w:rtl/>
        </w:rPr>
        <w:t xml:space="preserve"> </w:t>
      </w:r>
    </w:p>
    <w:p w:rsidR="00F91CC6" w:rsidRDefault="00F91CC6" w:rsidP="00E36513">
      <w:pPr>
        <w:pStyle w:val="ac"/>
        <w:spacing w:line="360" w:lineRule="auto"/>
        <w:ind w:left="397" w:right="-454"/>
        <w:jc w:val="both"/>
        <w:rPr>
          <w:sz w:val="26"/>
          <w:szCs w:val="26"/>
          <w:rtl/>
        </w:rPr>
      </w:pPr>
    </w:p>
    <w:p w:rsidR="00F4524C" w:rsidRPr="00E36513" w:rsidRDefault="00F4524C" w:rsidP="00E36513">
      <w:pPr>
        <w:pStyle w:val="ac"/>
        <w:spacing w:line="360" w:lineRule="auto"/>
        <w:ind w:left="397" w:right="-454"/>
        <w:jc w:val="both"/>
        <w:rPr>
          <w:b/>
          <w:bCs/>
          <w:sz w:val="26"/>
          <w:szCs w:val="26"/>
          <w:rtl/>
        </w:rPr>
      </w:pPr>
      <w:r>
        <w:rPr>
          <w:rFonts w:hint="cs"/>
          <w:sz w:val="26"/>
          <w:szCs w:val="26"/>
          <w:rtl/>
        </w:rPr>
        <w:t xml:space="preserve">כאמור, דומה כי עמדת רשות המסים במרוצת השנים תאמה את הגישה שהובעה בעניין </w:t>
      </w:r>
      <w:r>
        <w:rPr>
          <w:rFonts w:hint="cs"/>
          <w:b/>
          <w:bCs/>
          <w:sz w:val="26"/>
          <w:szCs w:val="26"/>
          <w:rtl/>
        </w:rPr>
        <w:t>קולנוע רינה</w:t>
      </w:r>
      <w:r w:rsidR="00F91CC6" w:rsidRPr="00F91CC6">
        <w:rPr>
          <w:rFonts w:hint="cs"/>
          <w:sz w:val="26"/>
          <w:szCs w:val="26"/>
          <w:rtl/>
        </w:rPr>
        <w:t>,</w:t>
      </w:r>
      <w:r>
        <w:rPr>
          <w:rFonts w:hint="cs"/>
          <w:sz w:val="26"/>
          <w:szCs w:val="26"/>
          <w:rtl/>
        </w:rPr>
        <w:t xml:space="preserve"> והנה </w:t>
      </w:r>
      <w:r w:rsidR="00F91CC6">
        <w:rPr>
          <w:rFonts w:hint="cs"/>
          <w:sz w:val="26"/>
          <w:szCs w:val="26"/>
          <w:rtl/>
        </w:rPr>
        <w:t>ב</w:t>
      </w:r>
      <w:r w:rsidR="00E36513">
        <w:rPr>
          <w:rFonts w:hint="cs"/>
          <w:sz w:val="26"/>
          <w:szCs w:val="26"/>
          <w:rtl/>
        </w:rPr>
        <w:t xml:space="preserve">"עמדה חייבת בדיווח" מס' 3/2016, הובהר כי </w:t>
      </w:r>
      <w:r w:rsidR="00E36513">
        <w:rPr>
          <w:rFonts w:hint="cs"/>
          <w:b/>
          <w:bCs/>
          <w:sz w:val="26"/>
          <w:szCs w:val="26"/>
          <w:rtl/>
        </w:rPr>
        <w:t>"... במקום בו לא נקבע שיעור פחת בדין בשל אותו נכס, לא יותר ניכוי בעד פחת בגין הנכס"</w:t>
      </w:r>
      <w:r w:rsidR="00E36513" w:rsidRPr="00F91CC6">
        <w:rPr>
          <w:rFonts w:hint="cs"/>
          <w:sz w:val="26"/>
          <w:szCs w:val="26"/>
          <w:rtl/>
        </w:rPr>
        <w:t>.</w:t>
      </w:r>
      <w:r w:rsidR="00E36513">
        <w:rPr>
          <w:rFonts w:hint="cs"/>
          <w:b/>
          <w:bCs/>
          <w:sz w:val="26"/>
          <w:szCs w:val="26"/>
          <w:rtl/>
        </w:rPr>
        <w:t xml:space="preserve"> </w:t>
      </w:r>
    </w:p>
    <w:p w:rsidR="00F4524C" w:rsidRDefault="00F4524C" w:rsidP="002C147B">
      <w:pPr>
        <w:pStyle w:val="ac"/>
        <w:spacing w:line="360" w:lineRule="auto"/>
        <w:ind w:left="397" w:right="-454"/>
        <w:jc w:val="both"/>
        <w:rPr>
          <w:sz w:val="26"/>
          <w:szCs w:val="26"/>
          <w:rtl/>
        </w:rPr>
      </w:pPr>
    </w:p>
    <w:p w:rsidR="00311378" w:rsidRDefault="00311378" w:rsidP="002C147B">
      <w:pPr>
        <w:pStyle w:val="ac"/>
        <w:spacing w:line="360" w:lineRule="auto"/>
        <w:ind w:left="397" w:right="-454"/>
        <w:jc w:val="both"/>
        <w:rPr>
          <w:sz w:val="26"/>
          <w:szCs w:val="26"/>
          <w:rtl/>
        </w:rPr>
      </w:pPr>
      <w:r>
        <w:rPr>
          <w:rFonts w:hint="cs"/>
          <w:sz w:val="26"/>
          <w:szCs w:val="26"/>
          <w:rtl/>
        </w:rPr>
        <w:t xml:space="preserve">יתרה מזו, האם לא ניתן לומר כי הוראות הפחת המנויות לעיל אכן באות לעודד השקעה בנכסים מניבים (כגון ציוד, מכונות ומבנים), </w:t>
      </w:r>
      <w:r w:rsidR="00D75F5C">
        <w:rPr>
          <w:rFonts w:hint="cs"/>
          <w:sz w:val="26"/>
          <w:szCs w:val="26"/>
          <w:rtl/>
        </w:rPr>
        <w:t xml:space="preserve">לשם הגדלת כושר הייצור ושגשוג הכלכלה, </w:t>
      </w:r>
      <w:r>
        <w:rPr>
          <w:rFonts w:hint="cs"/>
          <w:sz w:val="26"/>
          <w:szCs w:val="26"/>
          <w:rtl/>
        </w:rPr>
        <w:t xml:space="preserve">וזאת לעומת מצב שעלותם של אלה הייתה נלקחת בחשבון לצורך מיסוי רק בעת מכירתם או יציאתם מכלל שימוש? </w:t>
      </w:r>
    </w:p>
    <w:p w:rsidR="00311378" w:rsidRDefault="00311378" w:rsidP="00FC07B6">
      <w:pPr>
        <w:pStyle w:val="ac"/>
        <w:spacing w:line="360" w:lineRule="auto"/>
        <w:ind w:left="397" w:right="-454"/>
        <w:jc w:val="both"/>
        <w:rPr>
          <w:sz w:val="26"/>
          <w:szCs w:val="26"/>
          <w:rtl/>
        </w:rPr>
      </w:pPr>
    </w:p>
    <w:p w:rsidR="009C0306" w:rsidRDefault="00E36513" w:rsidP="002C147B">
      <w:pPr>
        <w:pStyle w:val="ac"/>
        <w:numPr>
          <w:ilvl w:val="0"/>
          <w:numId w:val="2"/>
        </w:numPr>
        <w:spacing w:line="360" w:lineRule="auto"/>
        <w:ind w:left="397" w:right="-454"/>
        <w:jc w:val="both"/>
        <w:rPr>
          <w:sz w:val="26"/>
          <w:szCs w:val="26"/>
        </w:rPr>
      </w:pPr>
      <w:r>
        <w:rPr>
          <w:rFonts w:hint="cs"/>
          <w:sz w:val="26"/>
          <w:szCs w:val="26"/>
          <w:rtl/>
        </w:rPr>
        <w:lastRenderedPageBreak/>
        <w:t xml:space="preserve">שנית, </w:t>
      </w:r>
      <w:r w:rsidR="00311378">
        <w:rPr>
          <w:rFonts w:hint="cs"/>
          <w:sz w:val="26"/>
          <w:szCs w:val="26"/>
          <w:rtl/>
        </w:rPr>
        <w:t>גישת המשיב מחייבת בחינה וקביעה בכל מקרה ומקרה האם ההוצאה שבגללה</w:t>
      </w:r>
      <w:r w:rsidR="00510BDD">
        <w:rPr>
          <w:rFonts w:hint="cs"/>
          <w:sz w:val="26"/>
          <w:szCs w:val="26"/>
          <w:rtl/>
        </w:rPr>
        <w:t xml:space="preserve"> נוצר</w:t>
      </w:r>
      <w:r w:rsidR="00311378">
        <w:rPr>
          <w:rFonts w:hint="cs"/>
          <w:sz w:val="26"/>
          <w:szCs w:val="26"/>
          <w:rtl/>
        </w:rPr>
        <w:t xml:space="preserve"> </w:t>
      </w:r>
      <w:r w:rsidR="009C0306">
        <w:rPr>
          <w:rFonts w:hint="cs"/>
          <w:sz w:val="26"/>
          <w:szCs w:val="26"/>
          <w:rtl/>
        </w:rPr>
        <w:t xml:space="preserve">פער בין החשבונאות ובין המס היא "הטבה" (שאסור לאיינה באמצעות יישום מצמצם של סעיף 126(ב)), אם לאו. </w:t>
      </w:r>
    </w:p>
    <w:p w:rsidR="009C0306" w:rsidRPr="002C147B" w:rsidRDefault="009C0306" w:rsidP="00D75F5C">
      <w:pPr>
        <w:spacing w:line="360" w:lineRule="auto"/>
        <w:ind w:left="37" w:right="-454"/>
        <w:jc w:val="both"/>
        <w:rPr>
          <w:sz w:val="26"/>
          <w:szCs w:val="26"/>
          <w:rtl/>
        </w:rPr>
      </w:pPr>
    </w:p>
    <w:p w:rsidR="00D75F5C" w:rsidRDefault="00D75F5C" w:rsidP="002C147B">
      <w:pPr>
        <w:pStyle w:val="ac"/>
        <w:spacing w:line="360" w:lineRule="auto"/>
        <w:ind w:left="397" w:right="-454"/>
        <w:jc w:val="both"/>
        <w:rPr>
          <w:sz w:val="26"/>
          <w:szCs w:val="26"/>
          <w:rtl/>
        </w:rPr>
      </w:pPr>
      <w:r>
        <w:rPr>
          <w:rFonts w:hint="cs"/>
          <w:sz w:val="26"/>
          <w:szCs w:val="26"/>
          <w:rtl/>
        </w:rPr>
        <w:t>אין לדעת אם המקרים אכן יהיו רבים, אולם יהיה זה מצב בלתי רצוי</w:t>
      </w:r>
      <w:r w:rsidR="002C147B">
        <w:rPr>
          <w:rFonts w:hint="cs"/>
          <w:sz w:val="26"/>
          <w:szCs w:val="26"/>
          <w:rtl/>
        </w:rPr>
        <w:t xml:space="preserve"> ביותר</w:t>
      </w:r>
      <w:r>
        <w:rPr>
          <w:rFonts w:hint="cs"/>
          <w:sz w:val="26"/>
          <w:szCs w:val="26"/>
          <w:rtl/>
        </w:rPr>
        <w:t xml:space="preserve"> אם תחולתו של סעיף 126(ב) אצל חברה מקבלת דיבידנד</w:t>
      </w:r>
      <w:r w:rsidR="00E4544D">
        <w:rPr>
          <w:rFonts w:hint="cs"/>
          <w:sz w:val="26"/>
          <w:szCs w:val="26"/>
          <w:rtl/>
        </w:rPr>
        <w:t xml:space="preserve"> תהיה תלויה באפיון הוצאה פלונית </w:t>
      </w:r>
      <w:r w:rsidR="00E4544D">
        <w:rPr>
          <w:sz w:val="26"/>
          <w:szCs w:val="26"/>
          <w:rtl/>
        </w:rPr>
        <w:t>–</w:t>
      </w:r>
      <w:r>
        <w:rPr>
          <w:rFonts w:hint="cs"/>
          <w:sz w:val="26"/>
          <w:szCs w:val="26"/>
          <w:rtl/>
        </w:rPr>
        <w:t xml:space="preserve"> שנ</w:t>
      </w:r>
      <w:r w:rsidR="002C147B">
        <w:rPr>
          <w:rFonts w:hint="cs"/>
          <w:sz w:val="26"/>
          <w:szCs w:val="26"/>
          <w:rtl/>
        </w:rPr>
        <w:t>תב</w:t>
      </w:r>
      <w:r w:rsidR="00E4544D">
        <w:rPr>
          <w:rFonts w:hint="cs"/>
          <w:sz w:val="26"/>
          <w:szCs w:val="26"/>
          <w:rtl/>
        </w:rPr>
        <w:t xml:space="preserve">עה על ידי החברה המחלקת </w:t>
      </w:r>
      <w:r w:rsidR="00E4544D">
        <w:rPr>
          <w:sz w:val="26"/>
          <w:szCs w:val="26"/>
          <w:rtl/>
        </w:rPr>
        <w:t>–</w:t>
      </w:r>
      <w:r w:rsidR="002C147B">
        <w:rPr>
          <w:rFonts w:hint="cs"/>
          <w:sz w:val="26"/>
          <w:szCs w:val="26"/>
          <w:rtl/>
        </w:rPr>
        <w:t xml:space="preserve"> כאמצעי "</w:t>
      </w:r>
      <w:r>
        <w:rPr>
          <w:rFonts w:hint="cs"/>
          <w:sz w:val="26"/>
          <w:szCs w:val="26"/>
          <w:rtl/>
        </w:rPr>
        <w:t>עידוד", כן או לא</w:t>
      </w:r>
      <w:r w:rsidR="002C147B">
        <w:rPr>
          <w:rFonts w:hint="cs"/>
          <w:sz w:val="26"/>
          <w:szCs w:val="26"/>
          <w:rtl/>
        </w:rPr>
        <w:t>.</w:t>
      </w:r>
      <w:r>
        <w:rPr>
          <w:rFonts w:hint="cs"/>
          <w:sz w:val="26"/>
          <w:szCs w:val="26"/>
          <w:rtl/>
        </w:rPr>
        <w:t xml:space="preserve"> </w:t>
      </w:r>
    </w:p>
    <w:p w:rsidR="00292E23" w:rsidRDefault="00292E23" w:rsidP="009C0306">
      <w:pPr>
        <w:pStyle w:val="ac"/>
        <w:spacing w:line="360" w:lineRule="auto"/>
        <w:ind w:left="397" w:right="-454"/>
        <w:jc w:val="both"/>
        <w:rPr>
          <w:sz w:val="26"/>
          <w:szCs w:val="26"/>
          <w:rtl/>
        </w:rPr>
      </w:pPr>
    </w:p>
    <w:p w:rsidR="007B20B6" w:rsidRDefault="00292E23" w:rsidP="002C147B">
      <w:pPr>
        <w:pStyle w:val="ac"/>
        <w:spacing w:line="360" w:lineRule="auto"/>
        <w:ind w:left="397" w:right="-454"/>
        <w:jc w:val="both"/>
        <w:rPr>
          <w:sz w:val="26"/>
          <w:szCs w:val="26"/>
          <w:rtl/>
        </w:rPr>
      </w:pPr>
      <w:r>
        <w:rPr>
          <w:rFonts w:hint="cs"/>
          <w:sz w:val="26"/>
          <w:szCs w:val="26"/>
          <w:rtl/>
        </w:rPr>
        <w:t>לטעמי, ההבח</w:t>
      </w:r>
      <w:r w:rsidR="00E4544D">
        <w:rPr>
          <w:rFonts w:hint="cs"/>
          <w:sz w:val="26"/>
          <w:szCs w:val="26"/>
          <w:rtl/>
        </w:rPr>
        <w:t>נות שעושה המשיב בהקשר זה מרחיקות</w:t>
      </w:r>
      <w:r>
        <w:rPr>
          <w:rFonts w:hint="cs"/>
          <w:sz w:val="26"/>
          <w:szCs w:val="26"/>
          <w:rtl/>
        </w:rPr>
        <w:t xml:space="preserve"> אותנו</w:t>
      </w:r>
      <w:r w:rsidR="002C147B">
        <w:rPr>
          <w:rFonts w:hint="cs"/>
          <w:sz w:val="26"/>
          <w:szCs w:val="26"/>
          <w:rtl/>
        </w:rPr>
        <w:t xml:space="preserve"> עוד יותר</w:t>
      </w:r>
      <w:r>
        <w:rPr>
          <w:rFonts w:hint="cs"/>
          <w:sz w:val="26"/>
          <w:szCs w:val="26"/>
          <w:rtl/>
        </w:rPr>
        <w:t xml:space="preserve"> מלשונו של סעיף 126(ב) </w:t>
      </w:r>
      <w:r w:rsidR="002C147B">
        <w:rPr>
          <w:rFonts w:hint="cs"/>
          <w:sz w:val="26"/>
          <w:szCs w:val="26"/>
          <w:rtl/>
        </w:rPr>
        <w:t xml:space="preserve">לפקודה, </w:t>
      </w:r>
      <w:r w:rsidR="007B20B6">
        <w:rPr>
          <w:rFonts w:hint="cs"/>
          <w:sz w:val="26"/>
          <w:szCs w:val="26"/>
          <w:rtl/>
        </w:rPr>
        <w:t>המסתפק</w:t>
      </w:r>
      <w:r w:rsidR="002C147B">
        <w:rPr>
          <w:rFonts w:hint="cs"/>
          <w:sz w:val="26"/>
          <w:szCs w:val="26"/>
          <w:rtl/>
        </w:rPr>
        <w:t>ת</w:t>
      </w:r>
      <w:r>
        <w:rPr>
          <w:rFonts w:hint="cs"/>
          <w:sz w:val="26"/>
          <w:szCs w:val="26"/>
          <w:rtl/>
        </w:rPr>
        <w:t xml:space="preserve"> </w:t>
      </w:r>
      <w:r w:rsidR="002C147B">
        <w:rPr>
          <w:rFonts w:hint="cs"/>
          <w:sz w:val="26"/>
          <w:szCs w:val="26"/>
          <w:rtl/>
        </w:rPr>
        <w:t>באזכור דיבידנד שמקורו "בהכנסות"</w:t>
      </w:r>
      <w:r>
        <w:rPr>
          <w:rFonts w:hint="cs"/>
          <w:sz w:val="26"/>
          <w:szCs w:val="26"/>
          <w:rtl/>
        </w:rPr>
        <w:t xml:space="preserve"> אשר הופקו על ידי "חבר-בני-אדם... החייב במס חברות". </w:t>
      </w:r>
      <w:r w:rsidR="007B20B6">
        <w:rPr>
          <w:rFonts w:hint="cs"/>
          <w:sz w:val="26"/>
          <w:szCs w:val="26"/>
          <w:rtl/>
        </w:rPr>
        <w:t>הצורך, על פי שיטת המשיב, להבדיל בין הוצאה שהיא בגדר "עידוד"</w:t>
      </w:r>
      <w:r w:rsidR="002C147B">
        <w:rPr>
          <w:rFonts w:hint="cs"/>
          <w:sz w:val="26"/>
          <w:szCs w:val="26"/>
          <w:rtl/>
        </w:rPr>
        <w:t xml:space="preserve"> או "הטבה", ובין הוצאה "רגילה" י</w:t>
      </w:r>
      <w:r w:rsidR="007B20B6">
        <w:rPr>
          <w:rFonts w:hint="cs"/>
          <w:sz w:val="26"/>
          <w:szCs w:val="26"/>
          <w:rtl/>
        </w:rPr>
        <w:t>פגע בערכי הוודאות</w:t>
      </w:r>
      <w:r w:rsidR="002C147B">
        <w:rPr>
          <w:rFonts w:hint="cs"/>
          <w:sz w:val="26"/>
          <w:szCs w:val="26"/>
          <w:rtl/>
        </w:rPr>
        <w:t>, היציבות</w:t>
      </w:r>
      <w:r w:rsidR="007B20B6">
        <w:rPr>
          <w:rFonts w:hint="cs"/>
          <w:sz w:val="26"/>
          <w:szCs w:val="26"/>
          <w:rtl/>
        </w:rPr>
        <w:t xml:space="preserve"> והשקיפות של </w:t>
      </w:r>
      <w:r w:rsidR="000A3BFD">
        <w:rPr>
          <w:rFonts w:hint="cs"/>
          <w:sz w:val="26"/>
          <w:szCs w:val="26"/>
          <w:rtl/>
        </w:rPr>
        <w:t>הדין</w:t>
      </w:r>
      <w:r w:rsidR="007B20B6">
        <w:rPr>
          <w:rFonts w:hint="cs"/>
          <w:sz w:val="26"/>
          <w:szCs w:val="26"/>
          <w:rtl/>
        </w:rPr>
        <w:t xml:space="preserve">, וזאת ללא עיגון מוצק במילותיו. </w:t>
      </w:r>
    </w:p>
    <w:p w:rsidR="00510BDD" w:rsidRDefault="00510BDD" w:rsidP="00510BDD">
      <w:pPr>
        <w:pStyle w:val="ac"/>
        <w:spacing w:line="360" w:lineRule="auto"/>
        <w:ind w:left="397" w:right="-454"/>
        <w:jc w:val="both"/>
        <w:rPr>
          <w:sz w:val="26"/>
          <w:szCs w:val="26"/>
        </w:rPr>
      </w:pPr>
    </w:p>
    <w:p w:rsidR="008B68E3" w:rsidRDefault="008B68E3" w:rsidP="00510BDD">
      <w:pPr>
        <w:pStyle w:val="ac"/>
        <w:spacing w:line="360" w:lineRule="auto"/>
        <w:ind w:left="397" w:right="-454"/>
        <w:jc w:val="both"/>
        <w:rPr>
          <w:b/>
          <w:bCs/>
          <w:sz w:val="26"/>
          <w:szCs w:val="26"/>
          <w:u w:val="single"/>
          <w:rtl/>
        </w:rPr>
      </w:pPr>
      <w:r>
        <w:rPr>
          <w:rFonts w:hint="cs"/>
          <w:b/>
          <w:bCs/>
          <w:sz w:val="26"/>
          <w:szCs w:val="26"/>
          <w:u w:val="single"/>
          <w:rtl/>
        </w:rPr>
        <w:t>על השימוש במודל השווי ההוגן</w:t>
      </w:r>
    </w:p>
    <w:p w:rsidR="008B68E3" w:rsidRPr="00FF46B2" w:rsidRDefault="008B68E3" w:rsidP="00C7649D">
      <w:pPr>
        <w:pStyle w:val="ac"/>
        <w:numPr>
          <w:ilvl w:val="0"/>
          <w:numId w:val="2"/>
        </w:numPr>
        <w:spacing w:line="360" w:lineRule="auto"/>
        <w:ind w:left="397" w:right="-454"/>
        <w:jc w:val="both"/>
        <w:rPr>
          <w:sz w:val="26"/>
          <w:szCs w:val="26"/>
          <w:rtl/>
        </w:rPr>
      </w:pPr>
      <w:r w:rsidRPr="00FF46B2">
        <w:rPr>
          <w:rFonts w:hint="cs"/>
          <w:sz w:val="26"/>
          <w:szCs w:val="26"/>
          <w:rtl/>
        </w:rPr>
        <w:t>חשו</w:t>
      </w:r>
      <w:r w:rsidR="00A949BF" w:rsidRPr="00FF46B2">
        <w:rPr>
          <w:rFonts w:hint="cs"/>
          <w:sz w:val="26"/>
          <w:szCs w:val="26"/>
          <w:rtl/>
        </w:rPr>
        <w:t>ב</w:t>
      </w:r>
      <w:r w:rsidRPr="00FF46B2">
        <w:rPr>
          <w:rFonts w:hint="cs"/>
          <w:sz w:val="26"/>
          <w:szCs w:val="26"/>
          <w:rtl/>
        </w:rPr>
        <w:t xml:space="preserve"> ל</w:t>
      </w:r>
      <w:r w:rsidR="009156F5" w:rsidRPr="00FF46B2">
        <w:rPr>
          <w:rFonts w:hint="cs"/>
          <w:sz w:val="26"/>
          <w:szCs w:val="26"/>
          <w:rtl/>
        </w:rPr>
        <w:t xml:space="preserve">חזור </w:t>
      </w:r>
      <w:r w:rsidRPr="00FF46B2">
        <w:rPr>
          <w:rFonts w:hint="cs"/>
          <w:sz w:val="26"/>
          <w:szCs w:val="26"/>
          <w:rtl/>
        </w:rPr>
        <w:t xml:space="preserve">ולהדגיש כי </w:t>
      </w:r>
      <w:r w:rsidR="00A949BF" w:rsidRPr="00FF46B2">
        <w:rPr>
          <w:rFonts w:hint="cs"/>
          <w:sz w:val="26"/>
          <w:szCs w:val="26"/>
          <w:rtl/>
        </w:rPr>
        <w:t>מק</w:t>
      </w:r>
      <w:r w:rsidRPr="00FF46B2">
        <w:rPr>
          <w:rFonts w:hint="cs"/>
          <w:sz w:val="26"/>
          <w:szCs w:val="26"/>
          <w:rtl/>
        </w:rPr>
        <w:t>ו</w:t>
      </w:r>
      <w:r w:rsidR="00A949BF" w:rsidRPr="00FF46B2">
        <w:rPr>
          <w:rFonts w:hint="cs"/>
          <w:sz w:val="26"/>
          <w:szCs w:val="26"/>
          <w:rtl/>
        </w:rPr>
        <w:t>ר</w:t>
      </w:r>
      <w:r w:rsidRPr="00FF46B2">
        <w:rPr>
          <w:rFonts w:hint="cs"/>
          <w:sz w:val="26"/>
          <w:szCs w:val="26"/>
          <w:rtl/>
        </w:rPr>
        <w:t xml:space="preserve"> הדיבידנדים הנדונים </w:t>
      </w:r>
      <w:r w:rsidR="00A949BF" w:rsidRPr="00FF46B2">
        <w:rPr>
          <w:rFonts w:hint="cs"/>
          <w:sz w:val="26"/>
          <w:szCs w:val="26"/>
          <w:rtl/>
        </w:rPr>
        <w:t>ה</w:t>
      </w:r>
      <w:r w:rsidRPr="00FF46B2">
        <w:rPr>
          <w:rFonts w:hint="cs"/>
          <w:sz w:val="26"/>
          <w:szCs w:val="26"/>
          <w:rtl/>
        </w:rPr>
        <w:t>וא ברווחיה "הרגילים" של אבנת. כנגד ההכנסה מ</w:t>
      </w:r>
      <w:r w:rsidR="00A949BF" w:rsidRPr="00FF46B2">
        <w:rPr>
          <w:rFonts w:hint="cs"/>
          <w:sz w:val="26"/>
          <w:szCs w:val="26"/>
          <w:rtl/>
        </w:rPr>
        <w:t>פע</w:t>
      </w:r>
      <w:r w:rsidRPr="00FF46B2">
        <w:rPr>
          <w:rFonts w:hint="cs"/>
          <w:sz w:val="26"/>
          <w:szCs w:val="26"/>
          <w:rtl/>
        </w:rPr>
        <w:t xml:space="preserve">ילות שוטפת נתבע פחת לצורכי מס. אין לפנינו חלוקה למערערת מתוך רווח חשבונאי שנבע מעליית ערכו של הנדל"ן להשקעה (רווחי שערוך). אי רישום הוצאות פחת בדוח הרווח והפסד של אבנת הוא פועל יוצא מאימוץ מודל השווי ההוגן. אימוץ מודל השווי ההוגן על ידי חברה בעלת נדל"ן להשקעה איננו בבחינת "תרגיל". </w:t>
      </w:r>
    </w:p>
    <w:p w:rsidR="00E4544D" w:rsidRDefault="00E4544D" w:rsidP="008B68E3">
      <w:pPr>
        <w:pStyle w:val="ac"/>
        <w:spacing w:line="360" w:lineRule="auto"/>
        <w:ind w:left="397" w:right="-454"/>
        <w:jc w:val="both"/>
        <w:rPr>
          <w:sz w:val="26"/>
          <w:szCs w:val="26"/>
          <w:rtl/>
        </w:rPr>
      </w:pPr>
    </w:p>
    <w:p w:rsidR="00315646" w:rsidRDefault="008B68E3" w:rsidP="008B68E3">
      <w:pPr>
        <w:pStyle w:val="ac"/>
        <w:spacing w:line="360" w:lineRule="auto"/>
        <w:ind w:left="397" w:right="-454"/>
        <w:jc w:val="both"/>
        <w:rPr>
          <w:sz w:val="26"/>
          <w:szCs w:val="26"/>
          <w:rtl/>
        </w:rPr>
      </w:pPr>
      <w:r>
        <w:rPr>
          <w:rFonts w:hint="cs"/>
          <w:sz w:val="26"/>
          <w:szCs w:val="26"/>
          <w:rtl/>
        </w:rPr>
        <w:t xml:space="preserve">התקן החשבונאי מציב בפני חברה </w:t>
      </w:r>
      <w:r w:rsidR="00FF46B2">
        <w:rPr>
          <w:rFonts w:hint="cs"/>
          <w:sz w:val="26"/>
          <w:szCs w:val="26"/>
          <w:rtl/>
        </w:rPr>
        <w:t>כ</w:t>
      </w:r>
      <w:r>
        <w:rPr>
          <w:rFonts w:hint="cs"/>
          <w:sz w:val="26"/>
          <w:szCs w:val="26"/>
          <w:rtl/>
        </w:rPr>
        <w:t>זו שתי</w:t>
      </w:r>
      <w:r w:rsidR="00315646">
        <w:rPr>
          <w:rFonts w:hint="cs"/>
          <w:sz w:val="26"/>
          <w:szCs w:val="26"/>
          <w:rtl/>
        </w:rPr>
        <w:t xml:space="preserve"> </w:t>
      </w:r>
      <w:r>
        <w:rPr>
          <w:rFonts w:hint="cs"/>
          <w:sz w:val="26"/>
          <w:szCs w:val="26"/>
          <w:rtl/>
        </w:rPr>
        <w:t xml:space="preserve">אפשרויות (סעיף 30 לתקן </w:t>
      </w:r>
      <w:r w:rsidRPr="005A6526">
        <w:t>IAS</w:t>
      </w:r>
      <w:r w:rsidR="00315646">
        <w:rPr>
          <w:sz w:val="26"/>
          <w:szCs w:val="26"/>
        </w:rPr>
        <w:t xml:space="preserve"> </w:t>
      </w:r>
      <w:r w:rsidRPr="005A6526">
        <w:t>40</w:t>
      </w:r>
      <w:r>
        <w:rPr>
          <w:rFonts w:hint="cs"/>
          <w:sz w:val="26"/>
          <w:szCs w:val="26"/>
          <w:rtl/>
        </w:rPr>
        <w:t xml:space="preserve">): </w:t>
      </w:r>
      <w:r w:rsidR="00315646">
        <w:rPr>
          <w:rFonts w:hint="cs"/>
          <w:sz w:val="26"/>
          <w:szCs w:val="26"/>
          <w:rtl/>
        </w:rPr>
        <w:t xml:space="preserve">החלופה הראשונה היא מודל השווי ההוגן והחלופה השנייה היא מודל העלות. </w:t>
      </w:r>
    </w:p>
    <w:p w:rsidR="00FF46B2" w:rsidRDefault="00FF46B2" w:rsidP="008B68E3">
      <w:pPr>
        <w:pStyle w:val="ac"/>
        <w:spacing w:line="360" w:lineRule="auto"/>
        <w:ind w:left="397" w:right="-454"/>
        <w:jc w:val="both"/>
        <w:rPr>
          <w:sz w:val="26"/>
          <w:szCs w:val="26"/>
          <w:rtl/>
        </w:rPr>
      </w:pPr>
    </w:p>
    <w:p w:rsidR="00315646" w:rsidRDefault="00315646" w:rsidP="00E4544D">
      <w:pPr>
        <w:pStyle w:val="ac"/>
        <w:spacing w:line="360" w:lineRule="auto"/>
        <w:ind w:left="397" w:right="-454"/>
        <w:jc w:val="both"/>
        <w:rPr>
          <w:sz w:val="26"/>
          <w:szCs w:val="26"/>
          <w:rtl/>
        </w:rPr>
      </w:pPr>
      <w:r>
        <w:rPr>
          <w:rFonts w:hint="cs"/>
          <w:sz w:val="26"/>
          <w:szCs w:val="26"/>
          <w:rtl/>
        </w:rPr>
        <w:t>גם כאש</w:t>
      </w:r>
      <w:r w:rsidR="00A949BF">
        <w:rPr>
          <w:rFonts w:hint="cs"/>
          <w:sz w:val="26"/>
          <w:szCs w:val="26"/>
          <w:rtl/>
        </w:rPr>
        <w:t xml:space="preserve">ר </w:t>
      </w:r>
      <w:r>
        <w:rPr>
          <w:rFonts w:hint="cs"/>
          <w:sz w:val="26"/>
          <w:szCs w:val="26"/>
          <w:rtl/>
        </w:rPr>
        <w:t>נ</w:t>
      </w:r>
      <w:r w:rsidR="00A949BF">
        <w:rPr>
          <w:rFonts w:hint="cs"/>
          <w:sz w:val="26"/>
          <w:szCs w:val="26"/>
          <w:rtl/>
        </w:rPr>
        <w:t>ב</w:t>
      </w:r>
      <w:r>
        <w:rPr>
          <w:rFonts w:hint="cs"/>
          <w:sz w:val="26"/>
          <w:szCs w:val="26"/>
          <w:rtl/>
        </w:rPr>
        <w:t>חנת החלופה השנייה</w:t>
      </w:r>
      <w:r w:rsidR="00E4544D">
        <w:rPr>
          <w:rFonts w:hint="cs"/>
          <w:sz w:val="26"/>
          <w:szCs w:val="26"/>
          <w:rtl/>
        </w:rPr>
        <w:t xml:space="preserve"> </w:t>
      </w:r>
      <w:r w:rsidR="008F79CD">
        <w:rPr>
          <w:rFonts w:hint="cs"/>
          <w:sz w:val="26"/>
          <w:szCs w:val="26"/>
          <w:rtl/>
        </w:rPr>
        <w:t>(</w:t>
      </w:r>
      <w:r w:rsidR="00E4544D">
        <w:rPr>
          <w:rFonts w:hint="cs"/>
          <w:sz w:val="26"/>
          <w:szCs w:val="26"/>
          <w:rtl/>
        </w:rPr>
        <w:t>מודל העלות</w:t>
      </w:r>
      <w:r w:rsidR="008F79CD">
        <w:rPr>
          <w:rFonts w:hint="cs"/>
          <w:sz w:val="26"/>
          <w:szCs w:val="26"/>
          <w:rtl/>
        </w:rPr>
        <w:t>)</w:t>
      </w:r>
      <w:r w:rsidR="00FF46B2">
        <w:rPr>
          <w:rFonts w:hint="cs"/>
          <w:sz w:val="26"/>
          <w:szCs w:val="26"/>
          <w:rtl/>
        </w:rPr>
        <w:t>,</w:t>
      </w:r>
      <w:r>
        <w:rPr>
          <w:rFonts w:hint="cs"/>
          <w:sz w:val="26"/>
          <w:szCs w:val="26"/>
          <w:rtl/>
        </w:rPr>
        <w:t xml:space="preserve"> ש</w:t>
      </w:r>
      <w:r w:rsidR="00244577">
        <w:rPr>
          <w:rFonts w:hint="cs"/>
          <w:sz w:val="26"/>
          <w:szCs w:val="26"/>
          <w:rtl/>
        </w:rPr>
        <w:t>ׂ</w:t>
      </w:r>
      <w:r>
        <w:rPr>
          <w:rFonts w:hint="cs"/>
          <w:sz w:val="26"/>
          <w:szCs w:val="26"/>
          <w:rtl/>
        </w:rPr>
        <w:t>ומה על  החברה להעריך את השווי ההוגן מדי תקופה ולגלותו בדוחות הכספיים (סעיפים 32 ו- 79(</w:t>
      </w:r>
      <w:r w:rsidR="00E4544D">
        <w:rPr>
          <w:rFonts w:hint="cs"/>
          <w:sz w:val="26"/>
          <w:szCs w:val="26"/>
          <w:rtl/>
        </w:rPr>
        <w:t>ה</w:t>
      </w:r>
      <w:r>
        <w:rPr>
          <w:rFonts w:hint="cs"/>
          <w:sz w:val="26"/>
          <w:szCs w:val="26"/>
          <w:rtl/>
        </w:rPr>
        <w:t xml:space="preserve">) לתקן). ובהקשר של מעבר ממודל למודל נאמר (בסעיף  31 לתקן) כי: </w:t>
      </w:r>
    </w:p>
    <w:p w:rsidR="00E4544D" w:rsidRDefault="00E4544D" w:rsidP="00E4544D">
      <w:pPr>
        <w:pStyle w:val="ac"/>
        <w:spacing w:line="360" w:lineRule="auto"/>
        <w:ind w:left="1134" w:right="567"/>
        <w:jc w:val="both"/>
        <w:rPr>
          <w:b/>
          <w:bCs/>
          <w:sz w:val="26"/>
          <w:szCs w:val="26"/>
          <w:rtl/>
        </w:rPr>
      </w:pPr>
    </w:p>
    <w:p w:rsidR="00315646" w:rsidRPr="00E4544D" w:rsidRDefault="00E4544D" w:rsidP="00E4544D">
      <w:pPr>
        <w:pStyle w:val="ac"/>
        <w:spacing w:line="360" w:lineRule="auto"/>
        <w:ind w:left="1134" w:right="567"/>
        <w:jc w:val="both"/>
        <w:rPr>
          <w:b/>
          <w:bCs/>
          <w:sz w:val="26"/>
          <w:szCs w:val="26"/>
          <w:rtl/>
        </w:rPr>
      </w:pPr>
      <w:r>
        <w:rPr>
          <w:rFonts w:hint="cs"/>
          <w:b/>
          <w:bCs/>
          <w:sz w:val="26"/>
          <w:szCs w:val="26"/>
          <w:rtl/>
        </w:rPr>
        <w:t>"... שינוי יזום במדיניות חשבונאית יבוצע רק אם השינוי מתבטא בדוחות כספיים, המספקים מידע מהימן ויותר רלוו</w:t>
      </w:r>
      <w:r w:rsidR="008F79CD">
        <w:rPr>
          <w:rFonts w:hint="cs"/>
          <w:b/>
          <w:bCs/>
          <w:sz w:val="26"/>
          <w:szCs w:val="26"/>
          <w:rtl/>
        </w:rPr>
        <w:t>נטי...</w:t>
      </w:r>
      <w:r>
        <w:rPr>
          <w:rFonts w:hint="cs"/>
          <w:b/>
          <w:bCs/>
          <w:sz w:val="26"/>
          <w:szCs w:val="26"/>
          <w:rtl/>
        </w:rPr>
        <w:t xml:space="preserve"> אין סבירות גבוהה לכך ששינוי ממודל השווי ההוגן למודל העלות יביא להצגה רלוונטית יותר."</w:t>
      </w:r>
    </w:p>
    <w:p w:rsidR="00E4544D" w:rsidRDefault="00E4544D" w:rsidP="00315646">
      <w:pPr>
        <w:pStyle w:val="ac"/>
        <w:spacing w:line="360" w:lineRule="auto"/>
        <w:ind w:left="397" w:right="-454"/>
        <w:jc w:val="both"/>
        <w:rPr>
          <w:sz w:val="26"/>
          <w:szCs w:val="26"/>
          <w:highlight w:val="yellow"/>
          <w:rtl/>
        </w:rPr>
      </w:pPr>
    </w:p>
    <w:p w:rsidR="00E4544D" w:rsidRDefault="00E4544D" w:rsidP="00315646">
      <w:pPr>
        <w:pStyle w:val="ac"/>
        <w:spacing w:line="360" w:lineRule="auto"/>
        <w:ind w:left="397" w:right="-454"/>
        <w:jc w:val="both"/>
        <w:rPr>
          <w:sz w:val="26"/>
          <w:szCs w:val="26"/>
          <w:rtl/>
        </w:rPr>
      </w:pPr>
    </w:p>
    <w:p w:rsidR="00315646" w:rsidRDefault="00315646" w:rsidP="00315646">
      <w:pPr>
        <w:pStyle w:val="ac"/>
        <w:spacing w:line="360" w:lineRule="auto"/>
        <w:ind w:left="397" w:right="-454"/>
        <w:jc w:val="both"/>
        <w:rPr>
          <w:sz w:val="26"/>
          <w:szCs w:val="26"/>
          <w:rtl/>
        </w:rPr>
      </w:pPr>
      <w:r>
        <w:rPr>
          <w:rFonts w:hint="cs"/>
          <w:sz w:val="26"/>
          <w:szCs w:val="26"/>
          <w:rtl/>
        </w:rPr>
        <w:t>דהיינו</w:t>
      </w:r>
      <w:r w:rsidR="00FF46B2">
        <w:rPr>
          <w:rFonts w:hint="cs"/>
          <w:sz w:val="26"/>
          <w:szCs w:val="26"/>
          <w:rtl/>
        </w:rPr>
        <w:t>,</w:t>
      </w:r>
      <w:r>
        <w:rPr>
          <w:rFonts w:hint="cs"/>
          <w:sz w:val="26"/>
          <w:szCs w:val="26"/>
          <w:rtl/>
        </w:rPr>
        <w:t xml:space="preserve"> השימוש במודל השווי ההוגן הוא</w:t>
      </w:r>
      <w:r w:rsidR="007E3CDA">
        <w:rPr>
          <w:rFonts w:hint="cs"/>
          <w:sz w:val="26"/>
          <w:szCs w:val="26"/>
          <w:rtl/>
        </w:rPr>
        <w:t xml:space="preserve"> ו</w:t>
      </w:r>
      <w:r w:rsidR="00E4544D">
        <w:rPr>
          <w:rFonts w:hint="cs"/>
          <w:sz w:val="26"/>
          <w:szCs w:val="26"/>
          <w:rtl/>
        </w:rPr>
        <w:t>דאי</w:t>
      </w:r>
      <w:r>
        <w:rPr>
          <w:rFonts w:hint="cs"/>
          <w:sz w:val="26"/>
          <w:szCs w:val="26"/>
          <w:rtl/>
        </w:rPr>
        <w:t xml:space="preserve"> תקין ואף מתבקש בהתאם לנסיבות. ולפי מודל זה עלות רכישת הנכס המניב איננו מובא בחשבון מדי שנה בצורת פחת אלא למעשה בעת מכירתו (כאשר </w:t>
      </w:r>
      <w:r w:rsidR="00A6309E">
        <w:rPr>
          <w:rFonts w:hint="cs"/>
          <w:sz w:val="26"/>
          <w:szCs w:val="26"/>
          <w:rtl/>
        </w:rPr>
        <w:t xml:space="preserve">כל </w:t>
      </w:r>
      <w:r>
        <w:rPr>
          <w:rFonts w:hint="cs"/>
          <w:sz w:val="26"/>
          <w:szCs w:val="26"/>
          <w:rtl/>
        </w:rPr>
        <w:t xml:space="preserve">שחיקה בשוויו תבוא לידי ביטוי באופן שוטף בדוח הרווח והפסד). </w:t>
      </w:r>
    </w:p>
    <w:p w:rsidR="00315646" w:rsidRDefault="00315646" w:rsidP="00315646">
      <w:pPr>
        <w:pStyle w:val="ac"/>
        <w:spacing w:line="360" w:lineRule="auto"/>
        <w:ind w:left="397" w:right="-454"/>
        <w:jc w:val="both"/>
        <w:rPr>
          <w:sz w:val="26"/>
          <w:szCs w:val="26"/>
          <w:rtl/>
        </w:rPr>
      </w:pPr>
    </w:p>
    <w:p w:rsidR="00315646" w:rsidRPr="00637E13" w:rsidRDefault="00315646" w:rsidP="005D240D">
      <w:pPr>
        <w:pStyle w:val="ac"/>
        <w:numPr>
          <w:ilvl w:val="0"/>
          <w:numId w:val="2"/>
        </w:numPr>
        <w:spacing w:line="360" w:lineRule="auto"/>
        <w:ind w:left="397" w:right="-454"/>
        <w:jc w:val="both"/>
        <w:rPr>
          <w:sz w:val="26"/>
          <w:szCs w:val="26"/>
          <w:rtl/>
        </w:rPr>
      </w:pPr>
      <w:r w:rsidRPr="00637E13">
        <w:rPr>
          <w:rFonts w:hint="cs"/>
          <w:sz w:val="26"/>
          <w:szCs w:val="26"/>
          <w:rtl/>
        </w:rPr>
        <w:t>ואמנם, אימוץ מודל השווי ההוגן עשוי לאפשר לחברה ל</w:t>
      </w:r>
      <w:r w:rsidR="00CA699A" w:rsidRPr="00637E13">
        <w:rPr>
          <w:rFonts w:hint="cs"/>
          <w:sz w:val="26"/>
          <w:szCs w:val="26"/>
          <w:rtl/>
        </w:rPr>
        <w:t>חלק רווח חשבונאי מעליית</w:t>
      </w:r>
      <w:r w:rsidR="00637E13" w:rsidRPr="00637E13">
        <w:rPr>
          <w:rFonts w:hint="cs"/>
          <w:sz w:val="26"/>
          <w:szCs w:val="26"/>
          <w:rtl/>
        </w:rPr>
        <w:t xml:space="preserve"> ערכו</w:t>
      </w:r>
      <w:r w:rsidR="00637E13">
        <w:rPr>
          <w:rFonts w:hint="cs"/>
          <w:sz w:val="26"/>
          <w:szCs w:val="26"/>
          <w:rtl/>
        </w:rPr>
        <w:t xml:space="preserve"> </w:t>
      </w:r>
      <w:r w:rsidR="00CA699A" w:rsidRPr="00637E13">
        <w:rPr>
          <w:rFonts w:hint="cs"/>
          <w:sz w:val="26"/>
          <w:szCs w:val="26"/>
          <w:rtl/>
        </w:rPr>
        <w:t xml:space="preserve">של נדל"ן להשקעה כאשר רווח זה הוא בלתי ממומש ואיננו מהווה "הכנסה" לפי הפקודה. אולם במקרה כגון זה </w:t>
      </w:r>
      <w:r w:rsidR="00CA699A" w:rsidRPr="00637E13">
        <w:rPr>
          <w:sz w:val="26"/>
          <w:szCs w:val="26"/>
          <w:rtl/>
        </w:rPr>
        <w:t>–</w:t>
      </w:r>
      <w:r w:rsidR="00CA699A" w:rsidRPr="00637E13">
        <w:rPr>
          <w:rFonts w:hint="cs"/>
          <w:sz w:val="26"/>
          <w:szCs w:val="26"/>
          <w:rtl/>
        </w:rPr>
        <w:t xml:space="preserve"> בעקבות הלכת</w:t>
      </w:r>
      <w:r w:rsidR="00CA699A" w:rsidRPr="00637E13">
        <w:rPr>
          <w:rFonts w:hint="cs"/>
          <w:b/>
          <w:bCs/>
          <w:sz w:val="26"/>
          <w:szCs w:val="26"/>
          <w:rtl/>
        </w:rPr>
        <w:t xml:space="preserve"> קניון דרורים</w:t>
      </w:r>
      <w:r w:rsidR="00CA699A" w:rsidRPr="00637E13">
        <w:rPr>
          <w:rFonts w:hint="cs"/>
          <w:sz w:val="26"/>
          <w:szCs w:val="26"/>
          <w:rtl/>
        </w:rPr>
        <w:t xml:space="preserve"> - ברי כי לא יחול סעיף 126(ב) על חברה שתקבל דיבידנד כאמור. וכאשר ייכנסו לתוקף הור</w:t>
      </w:r>
      <w:r w:rsidR="00BD401A" w:rsidRPr="00637E13">
        <w:rPr>
          <w:rFonts w:hint="cs"/>
          <w:sz w:val="26"/>
          <w:szCs w:val="26"/>
          <w:rtl/>
        </w:rPr>
        <w:t xml:space="preserve">אות סעיף 100א1 לפקודת מס הכנסה, </w:t>
      </w:r>
      <w:r w:rsidR="00CA699A" w:rsidRPr="00637E13">
        <w:rPr>
          <w:rFonts w:hint="cs"/>
          <w:sz w:val="26"/>
          <w:szCs w:val="26"/>
          <w:rtl/>
        </w:rPr>
        <w:t xml:space="preserve">עצם החלוקה תגרום למכירה רעיונית של הנכס ששוויו עלה. </w:t>
      </w:r>
    </w:p>
    <w:p w:rsidR="00CA699A" w:rsidRDefault="00CA699A" w:rsidP="00315646">
      <w:pPr>
        <w:pStyle w:val="ac"/>
        <w:spacing w:line="360" w:lineRule="auto"/>
        <w:ind w:left="397" w:right="-454"/>
        <w:jc w:val="both"/>
        <w:rPr>
          <w:sz w:val="26"/>
          <w:szCs w:val="26"/>
          <w:rtl/>
        </w:rPr>
      </w:pPr>
    </w:p>
    <w:p w:rsidR="00CA699A" w:rsidRDefault="00CA699A" w:rsidP="00315646">
      <w:pPr>
        <w:pStyle w:val="ac"/>
        <w:spacing w:line="360" w:lineRule="auto"/>
        <w:ind w:left="397" w:right="-454"/>
        <w:jc w:val="both"/>
        <w:rPr>
          <w:sz w:val="26"/>
          <w:szCs w:val="26"/>
          <w:rtl/>
        </w:rPr>
      </w:pPr>
      <w:r>
        <w:rPr>
          <w:rFonts w:hint="cs"/>
          <w:sz w:val="26"/>
          <w:szCs w:val="26"/>
          <w:rtl/>
        </w:rPr>
        <w:t xml:space="preserve">לדידי, ההלכה בעניין </w:t>
      </w:r>
      <w:r>
        <w:rPr>
          <w:rFonts w:hint="cs"/>
          <w:b/>
          <w:bCs/>
          <w:sz w:val="26"/>
          <w:szCs w:val="26"/>
          <w:rtl/>
        </w:rPr>
        <w:t>קניון דרורים</w:t>
      </w:r>
      <w:r>
        <w:rPr>
          <w:rFonts w:hint="cs"/>
          <w:sz w:val="26"/>
          <w:szCs w:val="26"/>
          <w:rtl/>
        </w:rPr>
        <w:t xml:space="preserve"> וטעמיה, שענייינם </w:t>
      </w:r>
      <w:r w:rsidR="000C0FE3">
        <w:rPr>
          <w:rFonts w:hint="cs"/>
          <w:b/>
          <w:bCs/>
          <w:sz w:val="26"/>
          <w:szCs w:val="26"/>
          <w:rtl/>
        </w:rPr>
        <w:t>רווחי ש</w:t>
      </w:r>
      <w:r>
        <w:rPr>
          <w:rFonts w:hint="cs"/>
          <w:b/>
          <w:bCs/>
          <w:sz w:val="26"/>
          <w:szCs w:val="26"/>
          <w:rtl/>
        </w:rPr>
        <w:t>ערוך</w:t>
      </w:r>
      <w:r w:rsidR="00BD401A">
        <w:rPr>
          <w:rFonts w:hint="cs"/>
          <w:sz w:val="26"/>
          <w:szCs w:val="26"/>
          <w:rtl/>
        </w:rPr>
        <w:t>,</w:t>
      </w:r>
      <w:r>
        <w:rPr>
          <w:rFonts w:hint="cs"/>
          <w:sz w:val="26"/>
          <w:szCs w:val="26"/>
          <w:rtl/>
        </w:rPr>
        <w:t xml:space="preserve"> אינם מחייבים תוצאה המביאה </w:t>
      </w:r>
      <w:r w:rsidR="00637E13">
        <w:rPr>
          <w:rFonts w:hint="cs"/>
          <w:sz w:val="26"/>
          <w:szCs w:val="26"/>
          <w:rtl/>
        </w:rPr>
        <w:t xml:space="preserve">גם </w:t>
      </w:r>
      <w:r>
        <w:rPr>
          <w:rFonts w:hint="cs"/>
          <w:sz w:val="26"/>
          <w:szCs w:val="26"/>
          <w:rtl/>
        </w:rPr>
        <w:t>לשלילה עקיפה של הוצאות הפחת שני</w:t>
      </w:r>
      <w:r w:rsidR="00A60316">
        <w:rPr>
          <w:rFonts w:hint="cs"/>
          <w:sz w:val="26"/>
          <w:szCs w:val="26"/>
          <w:rtl/>
        </w:rPr>
        <w:t>כ</w:t>
      </w:r>
      <w:r>
        <w:rPr>
          <w:rFonts w:hint="cs"/>
          <w:sz w:val="26"/>
          <w:szCs w:val="26"/>
          <w:rtl/>
        </w:rPr>
        <w:t>תה</w:t>
      </w:r>
      <w:r w:rsidR="00A60316">
        <w:rPr>
          <w:rFonts w:hint="cs"/>
          <w:sz w:val="26"/>
          <w:szCs w:val="26"/>
          <w:rtl/>
        </w:rPr>
        <w:t xml:space="preserve"> </w:t>
      </w:r>
      <w:r>
        <w:rPr>
          <w:rFonts w:hint="cs"/>
          <w:sz w:val="26"/>
          <w:szCs w:val="26"/>
          <w:rtl/>
        </w:rPr>
        <w:t xml:space="preserve">אבנת כדין, כנגד הכנסה מפעילות רגילה, ולשון סעיף 126(ב) לפקודה אף איננה מספקת בסיס לתוצאה כזו. </w:t>
      </w:r>
    </w:p>
    <w:p w:rsidR="00A60316" w:rsidRDefault="00A60316" w:rsidP="00315646">
      <w:pPr>
        <w:pStyle w:val="ac"/>
        <w:spacing w:line="360" w:lineRule="auto"/>
        <w:ind w:left="397" w:right="-454"/>
        <w:jc w:val="both"/>
        <w:rPr>
          <w:sz w:val="26"/>
          <w:szCs w:val="26"/>
          <w:rtl/>
        </w:rPr>
      </w:pPr>
    </w:p>
    <w:p w:rsidR="002F4B59" w:rsidRDefault="002F4B59" w:rsidP="00315646">
      <w:pPr>
        <w:pStyle w:val="ac"/>
        <w:spacing w:line="360" w:lineRule="auto"/>
        <w:ind w:left="397" w:right="-454"/>
        <w:jc w:val="both"/>
        <w:rPr>
          <w:b/>
          <w:bCs/>
          <w:sz w:val="26"/>
          <w:szCs w:val="26"/>
          <w:u w:val="single"/>
          <w:rtl/>
        </w:rPr>
      </w:pPr>
      <w:r w:rsidRPr="002F4B59">
        <w:rPr>
          <w:rFonts w:hint="cs"/>
          <w:b/>
          <w:bCs/>
          <w:sz w:val="26"/>
          <w:szCs w:val="26"/>
          <w:u w:val="single"/>
          <w:rtl/>
        </w:rPr>
        <w:t xml:space="preserve">ההשוואה בין מודל השווי ההוגן ומודל עלות </w:t>
      </w:r>
    </w:p>
    <w:p w:rsidR="002F4B59" w:rsidRDefault="002F4B59" w:rsidP="002F4B59">
      <w:pPr>
        <w:pStyle w:val="ac"/>
        <w:numPr>
          <w:ilvl w:val="0"/>
          <w:numId w:val="2"/>
        </w:numPr>
        <w:spacing w:line="360" w:lineRule="auto"/>
        <w:ind w:left="397" w:right="-454"/>
        <w:jc w:val="both"/>
        <w:rPr>
          <w:sz w:val="26"/>
          <w:szCs w:val="26"/>
        </w:rPr>
      </w:pPr>
      <w:r>
        <w:rPr>
          <w:rFonts w:hint="cs"/>
          <w:sz w:val="26"/>
          <w:szCs w:val="26"/>
          <w:rtl/>
        </w:rPr>
        <w:t xml:space="preserve">המשיב, מצידו, מחשיב את הסכום בגובה הוצאות הפחת לצורכי מס כחלק </w:t>
      </w:r>
      <w:r w:rsidRPr="00BD401A">
        <w:rPr>
          <w:rFonts w:hint="cs"/>
          <w:b/>
          <w:bCs/>
          <w:sz w:val="26"/>
          <w:szCs w:val="26"/>
          <w:rtl/>
        </w:rPr>
        <w:t>מרווחי השערוך</w:t>
      </w:r>
      <w:r>
        <w:rPr>
          <w:rFonts w:hint="cs"/>
          <w:sz w:val="26"/>
          <w:szCs w:val="26"/>
          <w:rtl/>
        </w:rPr>
        <w:t xml:space="preserve">: </w:t>
      </w:r>
    </w:p>
    <w:p w:rsidR="002F4B59" w:rsidRDefault="002F4B59" w:rsidP="002F4B59">
      <w:pPr>
        <w:pStyle w:val="ac"/>
        <w:spacing w:line="360" w:lineRule="auto"/>
        <w:ind w:left="397" w:right="-454"/>
        <w:jc w:val="both"/>
        <w:rPr>
          <w:sz w:val="26"/>
          <w:szCs w:val="26"/>
          <w:rtl/>
        </w:rPr>
      </w:pPr>
    </w:p>
    <w:p w:rsidR="002F4B59" w:rsidRDefault="002F4B59" w:rsidP="002F4B59">
      <w:pPr>
        <w:pStyle w:val="ac"/>
        <w:spacing w:line="360" w:lineRule="auto"/>
        <w:ind w:left="1134" w:right="57"/>
        <w:jc w:val="both"/>
        <w:rPr>
          <w:b/>
          <w:bCs/>
          <w:sz w:val="26"/>
          <w:szCs w:val="26"/>
          <w:rtl/>
        </w:rPr>
      </w:pPr>
      <w:r>
        <w:rPr>
          <w:rFonts w:hint="cs"/>
          <w:b/>
          <w:bCs/>
          <w:sz w:val="26"/>
          <w:szCs w:val="26"/>
          <w:rtl/>
        </w:rPr>
        <w:t>"</w:t>
      </w:r>
      <w:r w:rsidR="00DA4F6C">
        <w:rPr>
          <w:rFonts w:hint="cs"/>
          <w:b/>
          <w:bCs/>
          <w:sz w:val="26"/>
          <w:szCs w:val="26"/>
          <w:rtl/>
        </w:rPr>
        <w:t xml:space="preserve">... </w:t>
      </w:r>
      <w:r>
        <w:rPr>
          <w:rFonts w:hint="cs"/>
          <w:b/>
          <w:bCs/>
          <w:sz w:val="26"/>
          <w:szCs w:val="26"/>
          <w:rtl/>
        </w:rPr>
        <w:t xml:space="preserve">אי רישום הוצאות פחת בדוחות הכספיים של חברת הבת נובע אך ורק מהעובדה כי החברה בחרה ליישם בדוחותיה את מודל השווי ההוגן ביחס לנכסי הנדל"ן להשקעה שלה. </w:t>
      </w:r>
    </w:p>
    <w:p w:rsidR="002F4B59" w:rsidRDefault="002F4B59" w:rsidP="002F4B59">
      <w:pPr>
        <w:pStyle w:val="ac"/>
        <w:spacing w:line="360" w:lineRule="auto"/>
        <w:ind w:left="1134" w:right="57"/>
        <w:jc w:val="both"/>
        <w:rPr>
          <w:b/>
          <w:bCs/>
          <w:sz w:val="26"/>
          <w:szCs w:val="26"/>
          <w:rtl/>
        </w:rPr>
      </w:pPr>
      <w:r>
        <w:rPr>
          <w:rFonts w:hint="cs"/>
          <w:b/>
          <w:bCs/>
          <w:sz w:val="26"/>
          <w:szCs w:val="26"/>
          <w:rtl/>
        </w:rPr>
        <w:t>במקרה כזה דוחותיה הכספיים של חברת הבת ישקפ</w:t>
      </w:r>
      <w:r w:rsidR="00B27B21">
        <w:rPr>
          <w:rFonts w:hint="cs"/>
          <w:b/>
          <w:bCs/>
          <w:sz w:val="26"/>
          <w:szCs w:val="26"/>
          <w:rtl/>
        </w:rPr>
        <w:t xml:space="preserve">ו רווחים כדלקמן: </w:t>
      </w:r>
    </w:p>
    <w:p w:rsidR="00B27B21" w:rsidRDefault="00B27B21" w:rsidP="002F4B59">
      <w:pPr>
        <w:pStyle w:val="ac"/>
        <w:spacing w:line="360" w:lineRule="auto"/>
        <w:ind w:left="1134" w:right="57"/>
        <w:jc w:val="both"/>
        <w:rPr>
          <w:b/>
          <w:bCs/>
          <w:sz w:val="26"/>
          <w:szCs w:val="26"/>
          <w:rtl/>
        </w:rPr>
      </w:pPr>
      <w:r>
        <w:rPr>
          <w:rFonts w:hint="cs"/>
          <w:b/>
          <w:bCs/>
          <w:sz w:val="26"/>
          <w:szCs w:val="26"/>
          <w:rtl/>
        </w:rPr>
        <w:t>רווחים 'ממשיים' המשקפים רווח תזרימי אמיתי הכולל תזרים חיובי מהכנסות בגין הנכסים ותזרים שלילי בגין עלות הנכס המוכרת באופן שיטתי על פני אורך חייו השימושיים, באמצעות הוצאות הפחת;</w:t>
      </w:r>
    </w:p>
    <w:p w:rsidR="00B27B21" w:rsidRDefault="00B27B21" w:rsidP="002F4B59">
      <w:pPr>
        <w:pStyle w:val="ac"/>
        <w:spacing w:line="360" w:lineRule="auto"/>
        <w:ind w:left="1134" w:right="57"/>
        <w:jc w:val="both"/>
        <w:rPr>
          <w:b/>
          <w:bCs/>
          <w:sz w:val="26"/>
          <w:szCs w:val="26"/>
          <w:rtl/>
        </w:rPr>
      </w:pPr>
      <w:r>
        <w:rPr>
          <w:rFonts w:hint="cs"/>
          <w:b/>
          <w:bCs/>
          <w:sz w:val="26"/>
          <w:szCs w:val="26"/>
          <w:rtl/>
        </w:rPr>
        <w:t xml:space="preserve">ורווחים 'על הנייר' הנובעים משערוך הנכס </w:t>
      </w:r>
      <w:r>
        <w:rPr>
          <w:b/>
          <w:bCs/>
          <w:sz w:val="26"/>
          <w:szCs w:val="26"/>
          <w:rtl/>
        </w:rPr>
        <w:t>–</w:t>
      </w:r>
      <w:r>
        <w:rPr>
          <w:rFonts w:hint="cs"/>
          <w:b/>
          <w:bCs/>
          <w:sz w:val="26"/>
          <w:szCs w:val="26"/>
          <w:rtl/>
        </w:rPr>
        <w:t xml:space="preserve"> הכולל </w:t>
      </w:r>
      <w:r w:rsidRPr="0036430B">
        <w:rPr>
          <w:rFonts w:hint="cs"/>
          <w:b/>
          <w:bCs/>
          <w:sz w:val="26"/>
          <w:szCs w:val="26"/>
          <w:u w:val="single"/>
          <w:rtl/>
        </w:rPr>
        <w:t>הכנסה משערוך בגובה</w:t>
      </w:r>
      <w:r>
        <w:rPr>
          <w:rFonts w:hint="cs"/>
          <w:b/>
          <w:bCs/>
          <w:sz w:val="26"/>
          <w:szCs w:val="26"/>
          <w:rtl/>
        </w:rPr>
        <w:t xml:space="preserve"> </w:t>
      </w:r>
      <w:r w:rsidRPr="0036430B">
        <w:rPr>
          <w:rFonts w:hint="cs"/>
          <w:b/>
          <w:bCs/>
          <w:sz w:val="26"/>
          <w:szCs w:val="26"/>
          <w:u w:val="single"/>
          <w:rtl/>
        </w:rPr>
        <w:t>הוצאות הפחת</w:t>
      </w:r>
      <w:r>
        <w:rPr>
          <w:rFonts w:hint="cs"/>
          <w:b/>
          <w:bCs/>
          <w:sz w:val="26"/>
          <w:szCs w:val="26"/>
          <w:rtl/>
        </w:rPr>
        <w:t xml:space="preserve"> והכנסה משערוך נוסף, ככל שהייתה עלייה בשווי הנכס."</w:t>
      </w:r>
    </w:p>
    <w:p w:rsidR="0036430B" w:rsidRDefault="0036430B" w:rsidP="00DA4F6C">
      <w:pPr>
        <w:pStyle w:val="ac"/>
        <w:spacing w:line="360" w:lineRule="auto"/>
        <w:ind w:left="1134" w:right="57"/>
        <w:jc w:val="both"/>
        <w:rPr>
          <w:b/>
          <w:bCs/>
          <w:sz w:val="26"/>
          <w:szCs w:val="26"/>
          <w:rtl/>
        </w:rPr>
      </w:pPr>
      <w:r w:rsidRPr="0036430B">
        <w:rPr>
          <w:rFonts w:hint="cs"/>
          <w:sz w:val="26"/>
          <w:szCs w:val="26"/>
          <w:rtl/>
        </w:rPr>
        <w:t>(מתוך סעיף</w:t>
      </w:r>
      <w:r>
        <w:rPr>
          <w:rFonts w:hint="cs"/>
          <w:b/>
          <w:bCs/>
          <w:sz w:val="26"/>
          <w:szCs w:val="26"/>
          <w:rtl/>
        </w:rPr>
        <w:t xml:space="preserve"> </w:t>
      </w:r>
      <w:r w:rsidR="00DA4F6C" w:rsidRPr="00ED7045">
        <w:rPr>
          <w:rFonts w:hint="cs"/>
          <w:sz w:val="26"/>
          <w:szCs w:val="26"/>
          <w:rtl/>
        </w:rPr>
        <w:t>95</w:t>
      </w:r>
      <w:r>
        <w:rPr>
          <w:rFonts w:hint="cs"/>
          <w:b/>
          <w:bCs/>
          <w:sz w:val="26"/>
          <w:szCs w:val="26"/>
          <w:rtl/>
        </w:rPr>
        <w:t xml:space="preserve"> </w:t>
      </w:r>
      <w:r w:rsidRPr="002204D2">
        <w:rPr>
          <w:rFonts w:hint="cs"/>
          <w:sz w:val="26"/>
          <w:szCs w:val="26"/>
          <w:rtl/>
        </w:rPr>
        <w:t>לסיכומי המשיב; קו ההדגשה איננו במקור)</w:t>
      </w:r>
    </w:p>
    <w:p w:rsidR="00B27B21" w:rsidRPr="002F4B59" w:rsidRDefault="00B27B21" w:rsidP="002F4B59">
      <w:pPr>
        <w:pStyle w:val="ac"/>
        <w:spacing w:line="360" w:lineRule="auto"/>
        <w:ind w:left="1134" w:right="57"/>
        <w:jc w:val="both"/>
        <w:rPr>
          <w:b/>
          <w:bCs/>
          <w:sz w:val="26"/>
          <w:szCs w:val="26"/>
          <w:rtl/>
        </w:rPr>
      </w:pPr>
    </w:p>
    <w:p w:rsidR="00861126" w:rsidRDefault="00777957" w:rsidP="002F4B59">
      <w:pPr>
        <w:pStyle w:val="ac"/>
        <w:spacing w:line="360" w:lineRule="auto"/>
        <w:ind w:left="397" w:right="-454"/>
        <w:jc w:val="both"/>
        <w:rPr>
          <w:sz w:val="26"/>
          <w:szCs w:val="26"/>
          <w:rtl/>
        </w:rPr>
      </w:pPr>
      <w:r>
        <w:rPr>
          <w:rFonts w:hint="cs"/>
          <w:sz w:val="26"/>
          <w:szCs w:val="26"/>
          <w:rtl/>
        </w:rPr>
        <w:t>נראה כי נסיון המשיב לשוות לס</w:t>
      </w:r>
      <w:r w:rsidR="002F4B59">
        <w:rPr>
          <w:rFonts w:hint="cs"/>
          <w:sz w:val="26"/>
          <w:szCs w:val="26"/>
          <w:rtl/>
        </w:rPr>
        <w:t>כ</w:t>
      </w:r>
      <w:r>
        <w:rPr>
          <w:rFonts w:hint="cs"/>
          <w:sz w:val="26"/>
          <w:szCs w:val="26"/>
          <w:rtl/>
        </w:rPr>
        <w:t>ו</w:t>
      </w:r>
      <w:r w:rsidR="002F4B59">
        <w:rPr>
          <w:rFonts w:hint="cs"/>
          <w:sz w:val="26"/>
          <w:szCs w:val="26"/>
          <w:rtl/>
        </w:rPr>
        <w:t xml:space="preserve">ם הפחת אופי  של "הכנסה משערוך" נובע מהרצון לחסות בצילה של הלכת </w:t>
      </w:r>
      <w:r w:rsidR="002F4B59">
        <w:rPr>
          <w:rFonts w:hint="cs"/>
          <w:b/>
          <w:bCs/>
          <w:sz w:val="26"/>
          <w:szCs w:val="26"/>
          <w:rtl/>
        </w:rPr>
        <w:t>קניון דרורים</w:t>
      </w:r>
      <w:r w:rsidR="002F4B59">
        <w:rPr>
          <w:rFonts w:hint="cs"/>
          <w:sz w:val="26"/>
          <w:szCs w:val="26"/>
          <w:rtl/>
        </w:rPr>
        <w:t>, למרות שלא מדובר בסכום הקשור  לעליית ערך נכס הנדל"ן</w:t>
      </w:r>
      <w:r w:rsidR="00861126">
        <w:rPr>
          <w:rFonts w:hint="cs"/>
          <w:sz w:val="26"/>
          <w:szCs w:val="26"/>
          <w:rtl/>
        </w:rPr>
        <w:t xml:space="preserve">. </w:t>
      </w:r>
    </w:p>
    <w:p w:rsidR="00861126" w:rsidRDefault="00861126" w:rsidP="002F4B59">
      <w:pPr>
        <w:pStyle w:val="ac"/>
        <w:spacing w:line="360" w:lineRule="auto"/>
        <w:ind w:left="397" w:right="-454"/>
        <w:jc w:val="both"/>
        <w:rPr>
          <w:sz w:val="26"/>
          <w:szCs w:val="26"/>
          <w:rtl/>
        </w:rPr>
      </w:pPr>
    </w:p>
    <w:p w:rsidR="002F4B59" w:rsidRDefault="00861126" w:rsidP="00861126">
      <w:pPr>
        <w:pStyle w:val="ac"/>
        <w:spacing w:line="360" w:lineRule="auto"/>
        <w:ind w:left="397" w:right="-454"/>
        <w:jc w:val="both"/>
        <w:rPr>
          <w:sz w:val="26"/>
          <w:szCs w:val="26"/>
          <w:rtl/>
        </w:rPr>
      </w:pPr>
      <w:r>
        <w:rPr>
          <w:rFonts w:hint="cs"/>
          <w:sz w:val="26"/>
          <w:szCs w:val="26"/>
          <w:rtl/>
        </w:rPr>
        <w:t>יודגש כי התקן החשבונאי עוסק ב</w:t>
      </w:r>
      <w:r>
        <w:rPr>
          <w:rFonts w:hint="cs"/>
          <w:b/>
          <w:bCs/>
          <w:sz w:val="26"/>
          <w:szCs w:val="26"/>
          <w:rtl/>
        </w:rPr>
        <w:t>"רווח או הפסד הנובעים משינוי בשווי ההוגן של נדל"ן להשקעה"</w:t>
      </w:r>
      <w:r w:rsidR="007E3CDA">
        <w:rPr>
          <w:rFonts w:hint="cs"/>
          <w:sz w:val="26"/>
          <w:szCs w:val="26"/>
          <w:rtl/>
        </w:rPr>
        <w:t xml:space="preserve"> (ראו סעיף 35 לתקן)</w:t>
      </w:r>
      <w:r>
        <w:rPr>
          <w:rFonts w:hint="cs"/>
          <w:sz w:val="26"/>
          <w:szCs w:val="26"/>
          <w:rtl/>
        </w:rPr>
        <w:t xml:space="preserve"> (ודוק: הסוגיה השנויה במחלוקת בערעור זה יכולה להתעורר אפילו בשנים שלא הייתה כל עלייה בשווי השוק של הנדל"ן </w:t>
      </w:r>
      <w:r w:rsidR="007E3CDA">
        <w:rPr>
          <w:rFonts w:hint="cs"/>
          <w:sz w:val="26"/>
          <w:szCs w:val="26"/>
          <w:rtl/>
        </w:rPr>
        <w:t>המניב ואף כאשר</w:t>
      </w:r>
      <w:r>
        <w:rPr>
          <w:rFonts w:hint="cs"/>
          <w:sz w:val="26"/>
          <w:szCs w:val="26"/>
          <w:rtl/>
        </w:rPr>
        <w:t xml:space="preserve"> שוויו ירד)</w:t>
      </w:r>
      <w:r w:rsidR="002F4B59">
        <w:rPr>
          <w:rFonts w:hint="cs"/>
          <w:sz w:val="26"/>
          <w:szCs w:val="26"/>
          <w:rtl/>
        </w:rPr>
        <w:t xml:space="preserve">. </w:t>
      </w:r>
    </w:p>
    <w:p w:rsidR="002F4B59" w:rsidRPr="002F4B59" w:rsidRDefault="002F4B59" w:rsidP="002F4B59">
      <w:pPr>
        <w:pStyle w:val="ac"/>
        <w:spacing w:line="360" w:lineRule="auto"/>
        <w:ind w:left="397" w:right="-454"/>
        <w:jc w:val="both"/>
        <w:rPr>
          <w:sz w:val="26"/>
          <w:szCs w:val="26"/>
        </w:rPr>
      </w:pPr>
    </w:p>
    <w:p w:rsidR="002F4B59" w:rsidRPr="002F4B59" w:rsidRDefault="002F4B59" w:rsidP="002204D2">
      <w:pPr>
        <w:pStyle w:val="ac"/>
        <w:numPr>
          <w:ilvl w:val="0"/>
          <w:numId w:val="2"/>
        </w:numPr>
        <w:spacing w:line="360" w:lineRule="auto"/>
        <w:ind w:left="397" w:right="-454"/>
        <w:jc w:val="both"/>
        <w:rPr>
          <w:sz w:val="26"/>
          <w:szCs w:val="26"/>
          <w:rtl/>
        </w:rPr>
      </w:pPr>
      <w:r>
        <w:rPr>
          <w:rFonts w:hint="cs"/>
          <w:sz w:val="26"/>
          <w:szCs w:val="26"/>
          <w:rtl/>
        </w:rPr>
        <w:t xml:space="preserve">כדי לתוך בגישתו, המשיב עורך השוואה בין התוצאות המתקבלות לפי מודל השווי ההוגן ובין אלה </w:t>
      </w:r>
      <w:r w:rsidR="00750CCE">
        <w:rPr>
          <w:rFonts w:hint="cs"/>
          <w:sz w:val="26"/>
          <w:szCs w:val="26"/>
          <w:rtl/>
        </w:rPr>
        <w:t xml:space="preserve">המתקבלות </w:t>
      </w:r>
      <w:r>
        <w:rPr>
          <w:rFonts w:hint="cs"/>
          <w:sz w:val="26"/>
          <w:szCs w:val="26"/>
          <w:rtl/>
        </w:rPr>
        <w:t xml:space="preserve">לפי מודל העלות, </w:t>
      </w:r>
      <w:r w:rsidR="002204D2">
        <w:rPr>
          <w:rFonts w:hint="cs"/>
          <w:sz w:val="26"/>
          <w:szCs w:val="26"/>
          <w:rtl/>
        </w:rPr>
        <w:t>ולדעתו תיווצר</w:t>
      </w:r>
      <w:r>
        <w:rPr>
          <w:rFonts w:hint="cs"/>
          <w:sz w:val="26"/>
          <w:szCs w:val="26"/>
          <w:rtl/>
        </w:rPr>
        <w:t xml:space="preserve"> מעין אפליה אם עמדת המערערת תתקבל: </w:t>
      </w:r>
    </w:p>
    <w:p w:rsidR="00CA699A" w:rsidRDefault="00CA699A" w:rsidP="00315646">
      <w:pPr>
        <w:pStyle w:val="ac"/>
        <w:spacing w:line="360" w:lineRule="auto"/>
        <w:ind w:left="397" w:right="-454"/>
        <w:jc w:val="both"/>
        <w:rPr>
          <w:sz w:val="26"/>
          <w:szCs w:val="26"/>
          <w:rtl/>
        </w:rPr>
      </w:pPr>
    </w:p>
    <w:p w:rsidR="003A5844" w:rsidRDefault="00B27B21" w:rsidP="003A5844">
      <w:pPr>
        <w:pStyle w:val="ac"/>
        <w:spacing w:line="360" w:lineRule="auto"/>
        <w:ind w:left="1134" w:right="57"/>
        <w:jc w:val="both"/>
        <w:rPr>
          <w:b/>
          <w:bCs/>
          <w:sz w:val="26"/>
          <w:szCs w:val="26"/>
          <w:rtl/>
        </w:rPr>
      </w:pPr>
      <w:r>
        <w:rPr>
          <w:rFonts w:hint="cs"/>
          <w:b/>
          <w:bCs/>
          <w:sz w:val="26"/>
          <w:szCs w:val="26"/>
          <w:rtl/>
        </w:rPr>
        <w:t xml:space="preserve">"דא עקא, שקבלת עמדת המערערת מובילה לפער בין הרווח החשבונאי </w:t>
      </w:r>
      <w:r>
        <w:rPr>
          <w:b/>
          <w:bCs/>
          <w:sz w:val="26"/>
          <w:szCs w:val="26"/>
          <w:rtl/>
        </w:rPr>
        <w:t>–</w:t>
      </w:r>
      <w:r>
        <w:rPr>
          <w:rFonts w:hint="cs"/>
          <w:b/>
          <w:bCs/>
          <w:sz w:val="26"/>
          <w:szCs w:val="26"/>
          <w:rtl/>
        </w:rPr>
        <w:t xml:space="preserve"> לגביו יחול הפטור הקבוע בסעיף 126(ב) לפקודה </w:t>
      </w:r>
      <w:r>
        <w:rPr>
          <w:b/>
          <w:bCs/>
          <w:sz w:val="26"/>
          <w:szCs w:val="26"/>
          <w:rtl/>
        </w:rPr>
        <w:t>–</w:t>
      </w:r>
      <w:r>
        <w:rPr>
          <w:rFonts w:hint="cs"/>
          <w:b/>
          <w:bCs/>
          <w:sz w:val="26"/>
          <w:szCs w:val="26"/>
          <w:rtl/>
        </w:rPr>
        <w:t xml:space="preserve"> שתוכל לחלק חברה א', אשר בחרה ליישם</w:t>
      </w:r>
      <w:r w:rsidR="003A5844">
        <w:rPr>
          <w:rFonts w:hint="cs"/>
          <w:b/>
          <w:bCs/>
          <w:sz w:val="26"/>
          <w:szCs w:val="26"/>
          <w:rtl/>
        </w:rPr>
        <w:t xml:space="preserve"> את מודל </w:t>
      </w:r>
      <w:r>
        <w:rPr>
          <w:rFonts w:hint="cs"/>
          <w:b/>
          <w:bCs/>
          <w:sz w:val="26"/>
          <w:szCs w:val="26"/>
          <w:rtl/>
        </w:rPr>
        <w:t>ה</w:t>
      </w:r>
      <w:r w:rsidR="003A5844">
        <w:rPr>
          <w:rFonts w:hint="cs"/>
          <w:b/>
          <w:bCs/>
          <w:sz w:val="26"/>
          <w:szCs w:val="26"/>
          <w:rtl/>
        </w:rPr>
        <w:t xml:space="preserve">עלות לבין הרווח החשבונאי </w:t>
      </w:r>
      <w:r w:rsidR="003A5844">
        <w:rPr>
          <w:b/>
          <w:bCs/>
          <w:sz w:val="26"/>
          <w:szCs w:val="26"/>
          <w:rtl/>
        </w:rPr>
        <w:t>–</w:t>
      </w:r>
      <w:r w:rsidR="003A5844">
        <w:rPr>
          <w:rFonts w:hint="cs"/>
          <w:b/>
          <w:bCs/>
          <w:sz w:val="26"/>
          <w:szCs w:val="26"/>
          <w:rtl/>
        </w:rPr>
        <w:t xml:space="preserve"> לגביו יחול הפטור הקבוע בסעיף 126(ב) לפקודה </w:t>
      </w:r>
      <w:r w:rsidR="003A5844">
        <w:rPr>
          <w:b/>
          <w:bCs/>
          <w:sz w:val="26"/>
          <w:szCs w:val="26"/>
          <w:rtl/>
        </w:rPr>
        <w:t>–</w:t>
      </w:r>
      <w:r w:rsidR="003A5844">
        <w:rPr>
          <w:rFonts w:hint="cs"/>
          <w:b/>
          <w:bCs/>
          <w:sz w:val="26"/>
          <w:szCs w:val="26"/>
          <w:rtl/>
        </w:rPr>
        <w:t xml:space="preserve"> שתו</w:t>
      </w:r>
      <w:r>
        <w:rPr>
          <w:rFonts w:hint="cs"/>
          <w:b/>
          <w:bCs/>
          <w:sz w:val="26"/>
          <w:szCs w:val="26"/>
          <w:rtl/>
        </w:rPr>
        <w:t>כ</w:t>
      </w:r>
      <w:r w:rsidR="003A5844">
        <w:rPr>
          <w:rFonts w:hint="cs"/>
          <w:b/>
          <w:bCs/>
          <w:sz w:val="26"/>
          <w:szCs w:val="26"/>
          <w:rtl/>
        </w:rPr>
        <w:t xml:space="preserve">ל לחלק חברה ב', אשר בחרה ליישם את מודל השווי ההוגן. נבאר. </w:t>
      </w:r>
    </w:p>
    <w:p w:rsidR="003A5844" w:rsidRDefault="003A5844" w:rsidP="003A5844">
      <w:pPr>
        <w:pStyle w:val="ac"/>
        <w:spacing w:line="360" w:lineRule="auto"/>
        <w:ind w:left="1134" w:right="57"/>
        <w:jc w:val="both"/>
        <w:rPr>
          <w:b/>
          <w:bCs/>
          <w:sz w:val="26"/>
          <w:szCs w:val="26"/>
          <w:rtl/>
        </w:rPr>
      </w:pPr>
    </w:p>
    <w:p w:rsidR="00C621CF" w:rsidRDefault="003A5844" w:rsidP="003A5844">
      <w:pPr>
        <w:pStyle w:val="ac"/>
        <w:spacing w:line="360" w:lineRule="auto"/>
        <w:ind w:left="1134" w:right="57"/>
        <w:jc w:val="both"/>
        <w:rPr>
          <w:b/>
          <w:bCs/>
          <w:sz w:val="26"/>
          <w:szCs w:val="26"/>
          <w:rtl/>
        </w:rPr>
      </w:pPr>
      <w:r>
        <w:rPr>
          <w:rFonts w:hint="cs"/>
          <w:b/>
          <w:bCs/>
          <w:sz w:val="26"/>
          <w:szCs w:val="26"/>
          <w:rtl/>
        </w:rPr>
        <w:t>שתי חברות מחזיקות באותו נכס נדל"ן, המניב אותן הכנסות מהשכרתו. חברה א' המיישמת שיטת עלות מופחתת תוכל לחלק דיבידנד עליו חל סעיף 126(ב) לפקודה בגובה ההכנסה בניכוי הפחת, שרשמה בדוחותיה הכספיים כתוצאה מיישום שיטת העלות; ואילו חברה ב' שבחרה ליישם את מודל השווי ההוגן תוכל לחלק דיבידנד פטור בסכום גבוה יותר, מאחר ובשיטה זו לא נרשם פחת בדוחותיה הכספיים. הפער בין הרווחים, מהם תוכל חבר</w:t>
      </w:r>
      <w:r w:rsidR="003538F1">
        <w:rPr>
          <w:rFonts w:hint="cs"/>
          <w:b/>
          <w:bCs/>
          <w:sz w:val="26"/>
          <w:szCs w:val="26"/>
          <w:rtl/>
        </w:rPr>
        <w:t xml:space="preserve">ה א' לחלק דיבידנד פטור, לרווחים, מהם תוכל חברה ב' לחלק דיבידנד פטור, נובע אך ורק </w:t>
      </w:r>
      <w:r w:rsidR="002204D2">
        <w:rPr>
          <w:rFonts w:hint="cs"/>
          <w:b/>
          <w:bCs/>
          <w:sz w:val="26"/>
          <w:szCs w:val="26"/>
          <w:rtl/>
        </w:rPr>
        <w:t>מ</w:t>
      </w:r>
      <w:r w:rsidR="003538F1">
        <w:rPr>
          <w:rFonts w:hint="cs"/>
          <w:b/>
          <w:bCs/>
          <w:sz w:val="26"/>
          <w:szCs w:val="26"/>
          <w:rtl/>
        </w:rPr>
        <w:t>העובדה  כי חברה ב' בחרה ליישם</w:t>
      </w:r>
      <w:r w:rsidR="00C621CF">
        <w:rPr>
          <w:rFonts w:hint="cs"/>
          <w:b/>
          <w:bCs/>
          <w:sz w:val="26"/>
          <w:szCs w:val="26"/>
          <w:rtl/>
        </w:rPr>
        <w:t xml:space="preserve"> את מודל השווי ההוגן, ולא את מודל העלות. פער זה ייסגר </w:t>
      </w:r>
      <w:r w:rsidR="00C621CF">
        <w:rPr>
          <w:b/>
          <w:bCs/>
          <w:sz w:val="26"/>
          <w:szCs w:val="26"/>
          <w:rtl/>
        </w:rPr>
        <w:t>–</w:t>
      </w:r>
      <w:r w:rsidR="00C621CF">
        <w:rPr>
          <w:rFonts w:hint="cs"/>
          <w:b/>
          <w:bCs/>
          <w:sz w:val="26"/>
          <w:szCs w:val="26"/>
          <w:rtl/>
        </w:rPr>
        <w:t xml:space="preserve"> אם בכלל </w:t>
      </w:r>
      <w:r w:rsidR="00C621CF">
        <w:rPr>
          <w:b/>
          <w:bCs/>
          <w:sz w:val="26"/>
          <w:szCs w:val="26"/>
          <w:rtl/>
        </w:rPr>
        <w:t>–</w:t>
      </w:r>
      <w:r w:rsidR="00C621CF">
        <w:rPr>
          <w:rFonts w:hint="cs"/>
          <w:b/>
          <w:bCs/>
          <w:sz w:val="26"/>
          <w:szCs w:val="26"/>
          <w:rtl/>
        </w:rPr>
        <w:t xml:space="preserve"> כאשר, חברה  ב' תחליט לממש את הנכס. אין להלום, כי בחירה במודל כזה, או אחר, תטיב את מצבה של חברה ב', בהשוואה למצבה של חברה א'. ברי, כי לא זו תכלית הפטור הקבוע בסעיף 126(ב) לפקודה." </w:t>
      </w:r>
    </w:p>
    <w:p w:rsidR="00793F8B" w:rsidRDefault="00793F8B" w:rsidP="003A5844">
      <w:pPr>
        <w:pStyle w:val="ac"/>
        <w:spacing w:line="360" w:lineRule="auto"/>
        <w:ind w:left="1134" w:right="57"/>
        <w:jc w:val="both"/>
        <w:rPr>
          <w:sz w:val="26"/>
          <w:szCs w:val="26"/>
          <w:rtl/>
        </w:rPr>
      </w:pPr>
      <w:r>
        <w:rPr>
          <w:rFonts w:hint="cs"/>
          <w:sz w:val="26"/>
          <w:szCs w:val="26"/>
          <w:rtl/>
        </w:rPr>
        <w:t xml:space="preserve">(מתוך סעיפים 64 ו- 65 לסיכומי המשיב) </w:t>
      </w:r>
    </w:p>
    <w:p w:rsidR="00CE7A61" w:rsidRDefault="00CE7A61" w:rsidP="003A5844">
      <w:pPr>
        <w:pStyle w:val="ac"/>
        <w:spacing w:line="360" w:lineRule="auto"/>
        <w:ind w:left="1134" w:right="57"/>
        <w:jc w:val="both"/>
        <w:rPr>
          <w:sz w:val="26"/>
          <w:szCs w:val="26"/>
          <w:rtl/>
        </w:rPr>
      </w:pPr>
    </w:p>
    <w:p w:rsidR="00CE7A61" w:rsidRDefault="00CE7A61" w:rsidP="003A5844">
      <w:pPr>
        <w:pStyle w:val="ac"/>
        <w:spacing w:line="360" w:lineRule="auto"/>
        <w:ind w:left="1134" w:right="57"/>
        <w:jc w:val="both"/>
        <w:rPr>
          <w:sz w:val="26"/>
          <w:szCs w:val="26"/>
          <w:rtl/>
        </w:rPr>
      </w:pPr>
    </w:p>
    <w:p w:rsidR="00793F8B" w:rsidRDefault="00793F8B" w:rsidP="003A5844">
      <w:pPr>
        <w:pStyle w:val="ac"/>
        <w:spacing w:line="360" w:lineRule="auto"/>
        <w:ind w:left="1134" w:right="57"/>
        <w:jc w:val="both"/>
        <w:rPr>
          <w:sz w:val="26"/>
          <w:szCs w:val="26"/>
          <w:rtl/>
        </w:rPr>
      </w:pPr>
    </w:p>
    <w:p w:rsidR="00793F8B" w:rsidRDefault="00777957" w:rsidP="003657FD">
      <w:pPr>
        <w:pStyle w:val="ac"/>
        <w:spacing w:line="360" w:lineRule="auto"/>
        <w:ind w:left="397" w:right="-454"/>
        <w:jc w:val="both"/>
        <w:rPr>
          <w:sz w:val="26"/>
          <w:szCs w:val="26"/>
          <w:rtl/>
        </w:rPr>
      </w:pPr>
      <w:r>
        <w:rPr>
          <w:rFonts w:hint="cs"/>
          <w:sz w:val="26"/>
          <w:szCs w:val="26"/>
          <w:rtl/>
        </w:rPr>
        <w:lastRenderedPageBreak/>
        <w:t>ו</w:t>
      </w:r>
      <w:r w:rsidR="003657FD">
        <w:rPr>
          <w:rFonts w:hint="cs"/>
          <w:sz w:val="26"/>
          <w:szCs w:val="26"/>
          <w:rtl/>
        </w:rPr>
        <w:t>אכן</w:t>
      </w:r>
      <w:r w:rsidR="00793F8B">
        <w:rPr>
          <w:rFonts w:hint="cs"/>
          <w:sz w:val="26"/>
          <w:szCs w:val="26"/>
          <w:rtl/>
        </w:rPr>
        <w:t xml:space="preserve"> במישור </w:t>
      </w:r>
      <w:r w:rsidR="003657FD">
        <w:rPr>
          <w:rFonts w:hint="cs"/>
          <w:sz w:val="26"/>
          <w:szCs w:val="26"/>
          <w:rtl/>
        </w:rPr>
        <w:t xml:space="preserve">החישובי </w:t>
      </w:r>
      <w:r w:rsidR="00793F8B">
        <w:rPr>
          <w:rFonts w:hint="cs"/>
          <w:sz w:val="26"/>
          <w:szCs w:val="26"/>
          <w:rtl/>
        </w:rPr>
        <w:t>טיעון</w:t>
      </w:r>
      <w:r w:rsidR="003657FD">
        <w:rPr>
          <w:rFonts w:hint="cs"/>
          <w:sz w:val="26"/>
          <w:szCs w:val="26"/>
          <w:rtl/>
        </w:rPr>
        <w:t xml:space="preserve"> המשיב </w:t>
      </w:r>
      <w:r w:rsidR="00195B7F">
        <w:rPr>
          <w:rFonts w:hint="cs"/>
          <w:sz w:val="26"/>
          <w:szCs w:val="26"/>
          <w:rtl/>
        </w:rPr>
        <w:t>מדו</w:t>
      </w:r>
      <w:r w:rsidR="00793F8B">
        <w:rPr>
          <w:rFonts w:hint="cs"/>
          <w:sz w:val="26"/>
          <w:szCs w:val="26"/>
          <w:rtl/>
        </w:rPr>
        <w:t>יק</w:t>
      </w:r>
      <w:r w:rsidR="009B056D">
        <w:rPr>
          <w:rStyle w:val="af"/>
          <w:sz w:val="26"/>
          <w:szCs w:val="26"/>
          <w:rtl/>
        </w:rPr>
        <w:footnoteReference w:id="2"/>
      </w:r>
      <w:r w:rsidR="007D1728">
        <w:rPr>
          <w:rFonts w:hint="cs"/>
          <w:sz w:val="26"/>
          <w:szCs w:val="26"/>
          <w:rtl/>
        </w:rPr>
        <w:t xml:space="preserve">. </w:t>
      </w:r>
    </w:p>
    <w:p w:rsidR="004C1739" w:rsidRDefault="004C1739" w:rsidP="00793F8B">
      <w:pPr>
        <w:pStyle w:val="ac"/>
        <w:spacing w:line="360" w:lineRule="auto"/>
        <w:ind w:left="397" w:right="-454"/>
        <w:jc w:val="both"/>
        <w:rPr>
          <w:sz w:val="26"/>
          <w:szCs w:val="26"/>
          <w:rtl/>
        </w:rPr>
      </w:pPr>
    </w:p>
    <w:p w:rsidR="004C1739" w:rsidRDefault="004C1739" w:rsidP="00AC08C7">
      <w:pPr>
        <w:pStyle w:val="ac"/>
        <w:numPr>
          <w:ilvl w:val="0"/>
          <w:numId w:val="2"/>
        </w:numPr>
        <w:spacing w:line="360" w:lineRule="auto"/>
        <w:ind w:left="397" w:right="-454"/>
        <w:jc w:val="both"/>
        <w:rPr>
          <w:sz w:val="26"/>
          <w:szCs w:val="26"/>
          <w:rtl/>
        </w:rPr>
      </w:pPr>
      <w:r>
        <w:rPr>
          <w:rFonts w:hint="cs"/>
          <w:sz w:val="26"/>
          <w:szCs w:val="26"/>
          <w:rtl/>
        </w:rPr>
        <w:t xml:space="preserve">שקלתי </w:t>
      </w:r>
      <w:r w:rsidR="003657FD">
        <w:rPr>
          <w:rFonts w:hint="cs"/>
          <w:sz w:val="26"/>
          <w:szCs w:val="26"/>
          <w:rtl/>
        </w:rPr>
        <w:t>טיעון זה בכובד ראש. צודק המשיב כ</w:t>
      </w:r>
      <w:r>
        <w:rPr>
          <w:rFonts w:hint="cs"/>
          <w:sz w:val="26"/>
          <w:szCs w:val="26"/>
          <w:rtl/>
        </w:rPr>
        <w:t>מובן כי</w:t>
      </w:r>
      <w:r w:rsidR="00AC08C7">
        <w:rPr>
          <w:rFonts w:hint="cs"/>
          <w:sz w:val="26"/>
          <w:szCs w:val="26"/>
          <w:rtl/>
        </w:rPr>
        <w:t>,</w:t>
      </w:r>
      <w:r>
        <w:rPr>
          <w:rFonts w:hint="cs"/>
          <w:sz w:val="26"/>
          <w:szCs w:val="26"/>
          <w:rtl/>
        </w:rPr>
        <w:t xml:space="preserve"> </w:t>
      </w:r>
      <w:r w:rsidR="003657FD">
        <w:rPr>
          <w:rFonts w:hint="cs"/>
          <w:sz w:val="26"/>
          <w:szCs w:val="26"/>
          <w:rtl/>
        </w:rPr>
        <w:t>ב</w:t>
      </w:r>
      <w:r w:rsidR="00AC08C7">
        <w:rPr>
          <w:rFonts w:hint="cs"/>
          <w:sz w:val="26"/>
          <w:szCs w:val="26"/>
          <w:rtl/>
        </w:rPr>
        <w:t>התאם ל</w:t>
      </w:r>
      <w:r w:rsidR="003657FD">
        <w:rPr>
          <w:rFonts w:hint="cs"/>
          <w:sz w:val="26"/>
          <w:szCs w:val="26"/>
          <w:rtl/>
        </w:rPr>
        <w:t>השוואה שהוא עורך</w:t>
      </w:r>
      <w:r w:rsidR="00AC08C7">
        <w:rPr>
          <w:rFonts w:hint="cs"/>
          <w:sz w:val="26"/>
          <w:szCs w:val="26"/>
          <w:rtl/>
        </w:rPr>
        <w:t xml:space="preserve">, </w:t>
      </w:r>
      <w:r w:rsidR="003657FD">
        <w:rPr>
          <w:rFonts w:hint="cs"/>
          <w:sz w:val="26"/>
          <w:szCs w:val="26"/>
          <w:rtl/>
        </w:rPr>
        <w:t xml:space="preserve"> </w:t>
      </w:r>
      <w:r>
        <w:rPr>
          <w:rFonts w:hint="cs"/>
          <w:sz w:val="26"/>
          <w:szCs w:val="26"/>
          <w:rtl/>
        </w:rPr>
        <w:t xml:space="preserve">הפער </w:t>
      </w:r>
      <w:r w:rsidR="00AC08C7">
        <w:rPr>
          <w:rFonts w:hint="cs"/>
          <w:sz w:val="26"/>
          <w:szCs w:val="26"/>
          <w:rtl/>
        </w:rPr>
        <w:t xml:space="preserve">ביכולת הניצול של סעיף 126(ב) </w:t>
      </w:r>
      <w:r>
        <w:rPr>
          <w:rFonts w:hint="cs"/>
          <w:sz w:val="26"/>
          <w:szCs w:val="26"/>
          <w:rtl/>
        </w:rPr>
        <w:t xml:space="preserve">על פני התקופה (עד למכירת הנכס) הוא סוג של "חוסר מותנה". </w:t>
      </w:r>
    </w:p>
    <w:p w:rsidR="00F81E13" w:rsidRDefault="00F81E13" w:rsidP="00BA4117">
      <w:pPr>
        <w:pStyle w:val="ac"/>
        <w:spacing w:line="360" w:lineRule="auto"/>
        <w:ind w:left="397" w:right="-454"/>
        <w:jc w:val="both"/>
        <w:rPr>
          <w:sz w:val="26"/>
          <w:szCs w:val="26"/>
          <w:rtl/>
        </w:rPr>
      </w:pPr>
    </w:p>
    <w:p w:rsidR="00BA4117" w:rsidRDefault="00BA4117" w:rsidP="007E3CDA">
      <w:pPr>
        <w:pStyle w:val="ac"/>
        <w:spacing w:line="360" w:lineRule="auto"/>
        <w:ind w:left="397" w:right="-454"/>
        <w:jc w:val="both"/>
        <w:rPr>
          <w:sz w:val="26"/>
          <w:szCs w:val="26"/>
          <w:rtl/>
        </w:rPr>
      </w:pPr>
      <w:r>
        <w:rPr>
          <w:rFonts w:hint="cs"/>
          <w:sz w:val="26"/>
          <w:szCs w:val="26"/>
          <w:rtl/>
        </w:rPr>
        <w:t>אולם, יש להזכיר כי מודל העלות איננו זוכה לכל עדיפות בתקן החשבונאי ואיננו מהווה ברירת מחדל,  כך שנימוק זה מפי המשיב איננו בא דווקא כדי להגן על פירמה שפועלת "בדרך המלך". יתרה מזו, העובדה שחברה ב' בדוגמה של המשיב תוכל לחלק דיבידנד פטור בסכום גבוה יותר איננה אמורה להפתיע: ככלל יישום מודל השווי ההוגן גורם להקדמת ההכרה ברווח אצל החברה המחלקת לעומת מודל העלות (ככל ששווי הנדל"ן להשקעה עולה)</w:t>
      </w:r>
      <w:r w:rsidR="007E3CDA">
        <w:rPr>
          <w:rFonts w:hint="cs"/>
          <w:sz w:val="26"/>
          <w:szCs w:val="26"/>
          <w:rtl/>
        </w:rPr>
        <w:t>,</w:t>
      </w:r>
      <w:r w:rsidR="00F06273">
        <w:rPr>
          <w:rFonts w:hint="cs"/>
          <w:sz w:val="26"/>
          <w:szCs w:val="26"/>
          <w:rtl/>
        </w:rPr>
        <w:t xml:space="preserve"> והטיפול בתופעה זו </w:t>
      </w:r>
      <w:r w:rsidR="00F06273">
        <w:rPr>
          <w:sz w:val="26"/>
          <w:szCs w:val="26"/>
          <w:rtl/>
        </w:rPr>
        <w:t>–</w:t>
      </w:r>
      <w:r w:rsidR="00F06273">
        <w:rPr>
          <w:rFonts w:hint="cs"/>
          <w:sz w:val="26"/>
          <w:szCs w:val="26"/>
          <w:rtl/>
        </w:rPr>
        <w:t xml:space="preserve"> בכל הנוגע לרווחי השערוך עצמם </w:t>
      </w:r>
      <w:r w:rsidR="00F06273">
        <w:rPr>
          <w:sz w:val="26"/>
          <w:szCs w:val="26"/>
          <w:rtl/>
        </w:rPr>
        <w:t>–</w:t>
      </w:r>
      <w:r w:rsidR="00F06273">
        <w:rPr>
          <w:rFonts w:hint="cs"/>
          <w:sz w:val="26"/>
          <w:szCs w:val="26"/>
          <w:rtl/>
        </w:rPr>
        <w:t xml:space="preserve"> מוסדר היום בהלכת </w:t>
      </w:r>
      <w:r w:rsidR="00F06273">
        <w:rPr>
          <w:rFonts w:hint="cs"/>
          <w:b/>
          <w:bCs/>
          <w:sz w:val="26"/>
          <w:szCs w:val="26"/>
          <w:rtl/>
        </w:rPr>
        <w:t>קניון דרורים</w:t>
      </w:r>
      <w:r>
        <w:rPr>
          <w:rFonts w:hint="cs"/>
          <w:sz w:val="26"/>
          <w:szCs w:val="26"/>
          <w:rtl/>
        </w:rPr>
        <w:t>.</w:t>
      </w:r>
      <w:r w:rsidR="00F06273">
        <w:rPr>
          <w:rFonts w:hint="cs"/>
          <w:sz w:val="26"/>
          <w:szCs w:val="26"/>
          <w:rtl/>
        </w:rPr>
        <w:t xml:space="preserve"> </w:t>
      </w:r>
      <w:r w:rsidR="007E3CDA">
        <w:rPr>
          <w:rFonts w:hint="cs"/>
          <w:sz w:val="26"/>
          <w:szCs w:val="26"/>
          <w:rtl/>
        </w:rPr>
        <w:t xml:space="preserve">הדעת אף נותנת כי בהקשרים אחרים </w:t>
      </w:r>
      <w:r w:rsidR="00F06273">
        <w:rPr>
          <w:rFonts w:hint="cs"/>
          <w:sz w:val="26"/>
          <w:szCs w:val="26"/>
          <w:rtl/>
        </w:rPr>
        <w:t>תוצאות מס</w:t>
      </w:r>
      <w:r w:rsidR="006D2BA8">
        <w:rPr>
          <w:rFonts w:hint="cs"/>
          <w:sz w:val="26"/>
          <w:szCs w:val="26"/>
          <w:rtl/>
        </w:rPr>
        <w:t xml:space="preserve"> שונות</w:t>
      </w:r>
      <w:r w:rsidR="00F06273">
        <w:rPr>
          <w:rFonts w:hint="cs"/>
          <w:sz w:val="26"/>
          <w:szCs w:val="26"/>
          <w:rtl/>
        </w:rPr>
        <w:t xml:space="preserve"> מושפעות מבחירות שנעשות בעולם החשבונאי, וזאת לנוכח עקרון העקיבה המקובל.</w:t>
      </w:r>
      <w:r>
        <w:rPr>
          <w:rFonts w:hint="cs"/>
          <w:sz w:val="26"/>
          <w:szCs w:val="26"/>
          <w:rtl/>
        </w:rPr>
        <w:t xml:space="preserve"> </w:t>
      </w:r>
    </w:p>
    <w:p w:rsidR="00BA4117" w:rsidRDefault="00BA4117" w:rsidP="00793F8B">
      <w:pPr>
        <w:pStyle w:val="ac"/>
        <w:spacing w:line="360" w:lineRule="auto"/>
        <w:ind w:left="397" w:right="-454"/>
        <w:jc w:val="both"/>
        <w:rPr>
          <w:sz w:val="26"/>
          <w:szCs w:val="26"/>
          <w:rtl/>
        </w:rPr>
      </w:pPr>
    </w:p>
    <w:p w:rsidR="00066E63" w:rsidRDefault="00066E63" w:rsidP="002401E7">
      <w:pPr>
        <w:pStyle w:val="ac"/>
        <w:spacing w:line="360" w:lineRule="auto"/>
        <w:ind w:left="397" w:right="-454"/>
        <w:jc w:val="both"/>
        <w:rPr>
          <w:sz w:val="26"/>
          <w:szCs w:val="26"/>
          <w:rtl/>
        </w:rPr>
      </w:pPr>
      <w:r>
        <w:rPr>
          <w:rFonts w:hint="cs"/>
          <w:sz w:val="26"/>
          <w:szCs w:val="26"/>
          <w:rtl/>
        </w:rPr>
        <w:t xml:space="preserve">קבלת עמדת המשיב אף תעמיד קבוצת חברות בפני דילמה אשר לדעתי איננה מתבקשת: או לוותר על </w:t>
      </w:r>
      <w:r w:rsidR="00FB3DB2">
        <w:rPr>
          <w:rFonts w:hint="cs"/>
          <w:sz w:val="26"/>
          <w:szCs w:val="26"/>
          <w:rtl/>
        </w:rPr>
        <w:t>ה</w:t>
      </w:r>
      <w:r>
        <w:rPr>
          <w:rFonts w:hint="cs"/>
          <w:sz w:val="26"/>
          <w:szCs w:val="26"/>
          <w:rtl/>
        </w:rPr>
        <w:t xml:space="preserve">אפשרות, </w:t>
      </w:r>
      <w:r w:rsidR="00FB3DB2">
        <w:rPr>
          <w:rFonts w:hint="cs"/>
          <w:sz w:val="26"/>
          <w:szCs w:val="26"/>
          <w:rtl/>
        </w:rPr>
        <w:t xml:space="preserve">הפתוחה בפניה לפי </w:t>
      </w:r>
      <w:r>
        <w:rPr>
          <w:rFonts w:hint="cs"/>
          <w:sz w:val="26"/>
          <w:szCs w:val="26"/>
          <w:rtl/>
        </w:rPr>
        <w:t xml:space="preserve">מודל השווי ההוגן, של הצפת ערך מנדל"ן להשקעה ששוויו עלה, או </w:t>
      </w:r>
      <w:r w:rsidR="002401E7">
        <w:rPr>
          <w:rFonts w:hint="cs"/>
          <w:sz w:val="26"/>
          <w:szCs w:val="26"/>
          <w:rtl/>
        </w:rPr>
        <w:t>לחלופין</w:t>
      </w:r>
      <w:r w:rsidR="00FB3DB2">
        <w:rPr>
          <w:rFonts w:hint="cs"/>
          <w:sz w:val="26"/>
          <w:szCs w:val="26"/>
          <w:rtl/>
        </w:rPr>
        <w:t xml:space="preserve"> </w:t>
      </w:r>
      <w:r>
        <w:rPr>
          <w:rFonts w:hint="cs"/>
          <w:sz w:val="26"/>
          <w:szCs w:val="26"/>
          <w:rtl/>
        </w:rPr>
        <w:t>לבחור במודל האמור כך שבנוסף לשלילת הפטור לפי סעיף 126(ב) לגבי הרווח מעליית ערך הנדל"ן,</w:t>
      </w:r>
      <w:r w:rsidR="002401E7">
        <w:rPr>
          <w:rFonts w:hint="cs"/>
          <w:sz w:val="26"/>
          <w:szCs w:val="26"/>
          <w:rtl/>
        </w:rPr>
        <w:t xml:space="preserve"> ה</w:t>
      </w:r>
      <w:r w:rsidR="006D2BA8">
        <w:rPr>
          <w:rFonts w:hint="cs"/>
          <w:sz w:val="26"/>
          <w:szCs w:val="26"/>
          <w:rtl/>
        </w:rPr>
        <w:t>ק</w:t>
      </w:r>
      <w:r w:rsidR="002401E7">
        <w:rPr>
          <w:rFonts w:hint="cs"/>
          <w:sz w:val="26"/>
          <w:szCs w:val="26"/>
          <w:rtl/>
        </w:rPr>
        <w:t>בוצה</w:t>
      </w:r>
      <w:r>
        <w:rPr>
          <w:rFonts w:hint="cs"/>
          <w:sz w:val="26"/>
          <w:szCs w:val="26"/>
          <w:rtl/>
        </w:rPr>
        <w:t xml:space="preserve"> </w:t>
      </w:r>
      <w:r w:rsidR="00FB3DB2">
        <w:rPr>
          <w:rFonts w:hint="cs"/>
          <w:sz w:val="26"/>
          <w:szCs w:val="26"/>
          <w:rtl/>
        </w:rPr>
        <w:t xml:space="preserve">תהיה </w:t>
      </w:r>
      <w:r>
        <w:rPr>
          <w:rFonts w:hint="cs"/>
          <w:sz w:val="26"/>
          <w:szCs w:val="26"/>
          <w:rtl/>
        </w:rPr>
        <w:t xml:space="preserve">נתונה </w:t>
      </w:r>
      <w:r w:rsidR="002401E7">
        <w:rPr>
          <w:rFonts w:hint="cs"/>
          <w:sz w:val="26"/>
          <w:szCs w:val="26"/>
          <w:rtl/>
        </w:rPr>
        <w:t>גם</w:t>
      </w:r>
      <w:r w:rsidR="00FB3DB2">
        <w:rPr>
          <w:rFonts w:hint="cs"/>
          <w:sz w:val="26"/>
          <w:szCs w:val="26"/>
          <w:rtl/>
        </w:rPr>
        <w:t xml:space="preserve"> </w:t>
      </w:r>
      <w:r>
        <w:rPr>
          <w:rFonts w:hint="cs"/>
          <w:sz w:val="26"/>
          <w:szCs w:val="26"/>
          <w:rtl/>
        </w:rPr>
        <w:t xml:space="preserve">לשלילה (חלקית) של </w:t>
      </w:r>
      <w:r w:rsidR="00FB3DB2">
        <w:rPr>
          <w:rFonts w:hint="cs"/>
          <w:sz w:val="26"/>
          <w:szCs w:val="26"/>
          <w:rtl/>
        </w:rPr>
        <w:t xml:space="preserve">אותו </w:t>
      </w:r>
      <w:r>
        <w:rPr>
          <w:rFonts w:hint="cs"/>
          <w:sz w:val="26"/>
          <w:szCs w:val="26"/>
          <w:rtl/>
        </w:rPr>
        <w:t>פטור בקשר לרווחים</w:t>
      </w:r>
      <w:r w:rsidR="00FB3DB2">
        <w:rPr>
          <w:rFonts w:hint="cs"/>
          <w:sz w:val="26"/>
          <w:szCs w:val="26"/>
          <w:rtl/>
        </w:rPr>
        <w:t xml:space="preserve"> שחולקו</w:t>
      </w:r>
      <w:r>
        <w:rPr>
          <w:rFonts w:hint="cs"/>
          <w:sz w:val="26"/>
          <w:szCs w:val="26"/>
          <w:rtl/>
        </w:rPr>
        <w:t xml:space="preserve"> מפעילות </w:t>
      </w:r>
      <w:r w:rsidRPr="00066E63">
        <w:rPr>
          <w:rFonts w:hint="cs"/>
          <w:b/>
          <w:bCs/>
          <w:sz w:val="26"/>
          <w:szCs w:val="26"/>
          <w:rtl/>
        </w:rPr>
        <w:t>רגילה</w:t>
      </w:r>
      <w:r w:rsidR="00FB3DB2">
        <w:rPr>
          <w:rFonts w:hint="cs"/>
          <w:sz w:val="26"/>
          <w:szCs w:val="26"/>
          <w:rtl/>
        </w:rPr>
        <w:t>.</w:t>
      </w:r>
    </w:p>
    <w:p w:rsidR="00066E63" w:rsidRDefault="00066E63" w:rsidP="00793F8B">
      <w:pPr>
        <w:pStyle w:val="ac"/>
        <w:spacing w:line="360" w:lineRule="auto"/>
        <w:ind w:left="397" w:right="-454"/>
        <w:jc w:val="both"/>
        <w:rPr>
          <w:sz w:val="26"/>
          <w:szCs w:val="26"/>
          <w:rtl/>
        </w:rPr>
      </w:pPr>
    </w:p>
    <w:p w:rsidR="004C1739" w:rsidRDefault="00E32EE5" w:rsidP="00FB3DB2">
      <w:pPr>
        <w:pStyle w:val="ac"/>
        <w:spacing w:line="360" w:lineRule="auto"/>
        <w:ind w:left="397" w:right="-454"/>
        <w:jc w:val="both"/>
        <w:rPr>
          <w:sz w:val="26"/>
          <w:szCs w:val="26"/>
          <w:rtl/>
        </w:rPr>
      </w:pPr>
      <w:r>
        <w:rPr>
          <w:rFonts w:hint="cs"/>
          <w:sz w:val="26"/>
          <w:szCs w:val="26"/>
          <w:rtl/>
        </w:rPr>
        <w:t>בנוסף</w:t>
      </w:r>
      <w:r w:rsidR="001A48E9">
        <w:rPr>
          <w:rFonts w:hint="cs"/>
          <w:sz w:val="26"/>
          <w:szCs w:val="26"/>
          <w:rtl/>
        </w:rPr>
        <w:t xml:space="preserve">, </w:t>
      </w:r>
      <w:r>
        <w:rPr>
          <w:rFonts w:hint="cs"/>
          <w:sz w:val="26"/>
          <w:szCs w:val="26"/>
          <w:rtl/>
        </w:rPr>
        <w:t xml:space="preserve">קבלת עמדת המשיב עלולה להביא לבעיית כפל מיסוי: החיוב במס </w:t>
      </w:r>
      <w:r w:rsidR="004C1739">
        <w:rPr>
          <w:rFonts w:hint="cs"/>
          <w:sz w:val="26"/>
          <w:szCs w:val="26"/>
          <w:rtl/>
        </w:rPr>
        <w:t>אצל החברה ה</w:t>
      </w:r>
      <w:r w:rsidR="00FB3DB2">
        <w:rPr>
          <w:rFonts w:hint="cs"/>
          <w:sz w:val="26"/>
          <w:szCs w:val="26"/>
          <w:rtl/>
        </w:rPr>
        <w:t xml:space="preserve">מקבלת על הכנסה </w:t>
      </w:r>
      <w:r>
        <w:rPr>
          <w:rFonts w:hint="cs"/>
          <w:sz w:val="26"/>
          <w:szCs w:val="26"/>
          <w:rtl/>
        </w:rPr>
        <w:t xml:space="preserve">מדיבידנד </w:t>
      </w:r>
      <w:r w:rsidR="00FB3DB2">
        <w:rPr>
          <w:rFonts w:hint="cs"/>
          <w:sz w:val="26"/>
          <w:szCs w:val="26"/>
          <w:rtl/>
        </w:rPr>
        <w:t>בגובה סכום הפחת</w:t>
      </w:r>
      <w:r>
        <w:rPr>
          <w:rFonts w:hint="cs"/>
          <w:sz w:val="26"/>
          <w:szCs w:val="26"/>
          <w:rtl/>
        </w:rPr>
        <w:t xml:space="preserve"> (כתוצאה מאי החלתו של סעיף 126(ב) על </w:t>
      </w:r>
      <w:r>
        <w:rPr>
          <w:rFonts w:hint="cs"/>
          <w:sz w:val="26"/>
          <w:szCs w:val="26"/>
          <w:rtl/>
        </w:rPr>
        <w:lastRenderedPageBreak/>
        <w:t>מרכיב זה)</w:t>
      </w:r>
      <w:r w:rsidR="00FB3DB2">
        <w:rPr>
          <w:rFonts w:hint="cs"/>
          <w:sz w:val="26"/>
          <w:szCs w:val="26"/>
          <w:rtl/>
        </w:rPr>
        <w:t xml:space="preserve"> יתווסף ל</w:t>
      </w:r>
      <w:r w:rsidR="004C1739">
        <w:rPr>
          <w:rFonts w:hint="cs"/>
          <w:sz w:val="26"/>
          <w:szCs w:val="26"/>
          <w:rtl/>
        </w:rPr>
        <w:t xml:space="preserve">חבות במס אצל החברה המחלקת </w:t>
      </w:r>
      <w:r w:rsidR="00F81E13">
        <w:rPr>
          <w:rFonts w:hint="cs"/>
          <w:sz w:val="26"/>
          <w:szCs w:val="26"/>
          <w:rtl/>
        </w:rPr>
        <w:t>שתי</w:t>
      </w:r>
      <w:r w:rsidR="00FB3DB2">
        <w:rPr>
          <w:rFonts w:hint="cs"/>
          <w:sz w:val="26"/>
          <w:szCs w:val="26"/>
          <w:rtl/>
        </w:rPr>
        <w:t>ווצר</w:t>
      </w:r>
      <w:r w:rsidR="00F81E13">
        <w:rPr>
          <w:rFonts w:hint="cs"/>
          <w:sz w:val="26"/>
          <w:szCs w:val="26"/>
          <w:rtl/>
        </w:rPr>
        <w:t xml:space="preserve"> בעת מכירת הנכס</w:t>
      </w:r>
      <w:r w:rsidR="00066E63">
        <w:rPr>
          <w:rFonts w:hint="cs"/>
          <w:sz w:val="26"/>
          <w:szCs w:val="26"/>
          <w:rtl/>
        </w:rPr>
        <w:t xml:space="preserve"> כתוצאה </w:t>
      </w:r>
      <w:r w:rsidR="004C1739">
        <w:rPr>
          <w:rFonts w:hint="cs"/>
          <w:sz w:val="26"/>
          <w:szCs w:val="26"/>
          <w:rtl/>
        </w:rPr>
        <w:t>מהקטנת עלות</w:t>
      </w:r>
      <w:r w:rsidR="00F81E13">
        <w:rPr>
          <w:rFonts w:hint="cs"/>
          <w:sz w:val="26"/>
          <w:szCs w:val="26"/>
          <w:rtl/>
        </w:rPr>
        <w:t>ו</w:t>
      </w:r>
      <w:r w:rsidR="004C1739">
        <w:rPr>
          <w:rFonts w:hint="cs"/>
          <w:sz w:val="26"/>
          <w:szCs w:val="26"/>
          <w:rtl/>
        </w:rPr>
        <w:t xml:space="preserve"> בגובה סכומי הפחת שנתבעו. </w:t>
      </w:r>
    </w:p>
    <w:p w:rsidR="004C1739" w:rsidRDefault="004C1739" w:rsidP="00793F8B">
      <w:pPr>
        <w:pStyle w:val="ac"/>
        <w:spacing w:line="360" w:lineRule="auto"/>
        <w:ind w:left="397" w:right="-454"/>
        <w:jc w:val="both"/>
        <w:rPr>
          <w:sz w:val="26"/>
          <w:szCs w:val="26"/>
          <w:rtl/>
        </w:rPr>
      </w:pPr>
    </w:p>
    <w:p w:rsidR="004C1739" w:rsidRDefault="004C1739" w:rsidP="00066E63">
      <w:pPr>
        <w:pStyle w:val="ac"/>
        <w:numPr>
          <w:ilvl w:val="0"/>
          <w:numId w:val="2"/>
        </w:numPr>
        <w:spacing w:line="360" w:lineRule="auto"/>
        <w:ind w:left="397" w:right="-454"/>
        <w:jc w:val="both"/>
        <w:rPr>
          <w:sz w:val="26"/>
          <w:szCs w:val="26"/>
          <w:rtl/>
        </w:rPr>
      </w:pPr>
      <w:r>
        <w:rPr>
          <w:rFonts w:hint="cs"/>
          <w:sz w:val="26"/>
          <w:szCs w:val="26"/>
          <w:rtl/>
        </w:rPr>
        <w:t>הנה בהינת</w:t>
      </w:r>
      <w:r w:rsidR="00EA0EC9">
        <w:rPr>
          <w:rFonts w:hint="cs"/>
          <w:sz w:val="26"/>
          <w:szCs w:val="26"/>
          <w:rtl/>
        </w:rPr>
        <w:t>ן שהשימוש החשבונאי במודל השווי ההוגן</w:t>
      </w:r>
      <w:r w:rsidR="00F81E13">
        <w:rPr>
          <w:rFonts w:hint="cs"/>
          <w:sz w:val="26"/>
          <w:szCs w:val="26"/>
          <w:rtl/>
        </w:rPr>
        <w:t xml:space="preserve"> הוא תקין לחלוטין, ורצון החברה להציף</w:t>
      </w:r>
      <w:r w:rsidR="00FB3DB2">
        <w:rPr>
          <w:rFonts w:hint="cs"/>
          <w:sz w:val="26"/>
          <w:szCs w:val="26"/>
          <w:rtl/>
        </w:rPr>
        <w:t xml:space="preserve"> את</w:t>
      </w:r>
      <w:r w:rsidR="00EA0EC9">
        <w:rPr>
          <w:rFonts w:hint="cs"/>
          <w:sz w:val="26"/>
          <w:szCs w:val="26"/>
          <w:rtl/>
        </w:rPr>
        <w:t xml:space="preserve"> ערך נכסי נדל"ן במעלה שרשרת ההחזקה הוא ליגיטימי, ובהעדר עיגון </w:t>
      </w:r>
      <w:r w:rsidR="00F81E13">
        <w:rPr>
          <w:rFonts w:hint="cs"/>
          <w:sz w:val="26"/>
          <w:szCs w:val="26"/>
          <w:rtl/>
        </w:rPr>
        <w:t xml:space="preserve">של ממש </w:t>
      </w:r>
      <w:r w:rsidR="00EA0EC9">
        <w:rPr>
          <w:rFonts w:hint="cs"/>
          <w:sz w:val="26"/>
          <w:szCs w:val="26"/>
          <w:rtl/>
        </w:rPr>
        <w:t xml:space="preserve">בנוסח סעיף 126(ב) לפקודה לגישת המשיב, הגעתי למסקנה כי עמדת המערערת בסוגיה הראשית צריכה להתקבל. </w:t>
      </w:r>
    </w:p>
    <w:p w:rsidR="00EA0EC9" w:rsidRDefault="00EA0EC9" w:rsidP="00793F8B">
      <w:pPr>
        <w:pStyle w:val="ac"/>
        <w:spacing w:line="360" w:lineRule="auto"/>
        <w:ind w:left="397" w:right="-454"/>
        <w:jc w:val="both"/>
        <w:rPr>
          <w:sz w:val="26"/>
          <w:szCs w:val="26"/>
          <w:rtl/>
        </w:rPr>
      </w:pPr>
    </w:p>
    <w:p w:rsidR="00FA5CED" w:rsidRPr="005C5080" w:rsidRDefault="00FA5CED" w:rsidP="00793F8B">
      <w:pPr>
        <w:pStyle w:val="ac"/>
        <w:spacing w:line="360" w:lineRule="auto"/>
        <w:ind w:left="397" w:right="-454"/>
        <w:jc w:val="both"/>
        <w:rPr>
          <w:sz w:val="26"/>
          <w:szCs w:val="26"/>
          <w:rtl/>
        </w:rPr>
      </w:pPr>
      <w:r>
        <w:rPr>
          <w:rFonts w:hint="cs"/>
          <w:sz w:val="26"/>
          <w:szCs w:val="26"/>
          <w:rtl/>
        </w:rPr>
        <w:t>הדיבידנדים הנדונים חולקו כאמור מת</w:t>
      </w:r>
      <w:r w:rsidR="005C5080">
        <w:rPr>
          <w:rFonts w:hint="cs"/>
          <w:sz w:val="26"/>
          <w:szCs w:val="26"/>
          <w:rtl/>
        </w:rPr>
        <w:t>וך רווחים</w:t>
      </w:r>
      <w:r w:rsidR="005C5080">
        <w:rPr>
          <w:rFonts w:hint="cs"/>
          <w:b/>
          <w:bCs/>
          <w:sz w:val="26"/>
          <w:szCs w:val="26"/>
          <w:rtl/>
        </w:rPr>
        <w:t xml:space="preserve"> מפעילות עסקית שוטפת </w:t>
      </w:r>
      <w:r w:rsidR="005C5080">
        <w:rPr>
          <w:rFonts w:hint="cs"/>
          <w:sz w:val="26"/>
          <w:szCs w:val="26"/>
          <w:rtl/>
        </w:rPr>
        <w:t>ואין חולק כי התקבולים מפעילות זו היו בבחינת "הכנסות" כמשמעות מונח זה בפקודת מס הכנסה.</w:t>
      </w:r>
    </w:p>
    <w:p w:rsidR="005C5080" w:rsidRDefault="005C5080" w:rsidP="00793F8B">
      <w:pPr>
        <w:pStyle w:val="ac"/>
        <w:spacing w:line="360" w:lineRule="auto"/>
        <w:ind w:left="397" w:right="-454"/>
        <w:jc w:val="both"/>
        <w:rPr>
          <w:sz w:val="26"/>
          <w:szCs w:val="26"/>
          <w:rtl/>
        </w:rPr>
      </w:pPr>
    </w:p>
    <w:p w:rsidR="00EA0EC9" w:rsidRDefault="00EA0EC9" w:rsidP="00793F8B">
      <w:pPr>
        <w:pStyle w:val="ac"/>
        <w:spacing w:line="360" w:lineRule="auto"/>
        <w:ind w:left="397" w:right="-454"/>
        <w:jc w:val="both"/>
        <w:rPr>
          <w:sz w:val="26"/>
          <w:szCs w:val="26"/>
          <w:rtl/>
        </w:rPr>
      </w:pPr>
      <w:r>
        <w:rPr>
          <w:rFonts w:hint="cs"/>
          <w:sz w:val="26"/>
          <w:szCs w:val="26"/>
          <w:rtl/>
        </w:rPr>
        <w:t xml:space="preserve">אמנם תביעת הפחת </w:t>
      </w:r>
      <w:r>
        <w:rPr>
          <w:rFonts w:hint="cs"/>
          <w:b/>
          <w:bCs/>
          <w:sz w:val="26"/>
          <w:szCs w:val="26"/>
          <w:rtl/>
        </w:rPr>
        <w:t>רק</w:t>
      </w:r>
      <w:r>
        <w:rPr>
          <w:rFonts w:hint="cs"/>
          <w:sz w:val="26"/>
          <w:szCs w:val="26"/>
          <w:rtl/>
        </w:rPr>
        <w:t xml:space="preserve"> לצורכי מס היא תוצאת לוואי של אימוץ מודל השווי ההוגן, אולם לדעתי אין עובדה זו הופכת את סכומי הפחת עצמם ל"רווחי שערוך" שדינם כדין הרווחים שנדונו בעניין </w:t>
      </w:r>
      <w:r>
        <w:rPr>
          <w:rFonts w:hint="cs"/>
          <w:b/>
          <w:bCs/>
          <w:sz w:val="26"/>
          <w:szCs w:val="26"/>
          <w:rtl/>
        </w:rPr>
        <w:t>קניון דרורים</w:t>
      </w:r>
      <w:r>
        <w:rPr>
          <w:rFonts w:hint="cs"/>
          <w:sz w:val="26"/>
          <w:szCs w:val="26"/>
          <w:rtl/>
        </w:rPr>
        <w:t xml:space="preserve">. </w:t>
      </w:r>
    </w:p>
    <w:p w:rsidR="00EA0EC9" w:rsidRDefault="00EA0EC9" w:rsidP="00793F8B">
      <w:pPr>
        <w:pStyle w:val="ac"/>
        <w:spacing w:line="360" w:lineRule="auto"/>
        <w:ind w:left="397" w:right="-454"/>
        <w:jc w:val="both"/>
        <w:rPr>
          <w:sz w:val="26"/>
          <w:szCs w:val="26"/>
          <w:rtl/>
        </w:rPr>
      </w:pPr>
    </w:p>
    <w:p w:rsidR="00EA0EC9" w:rsidRDefault="00EA0EC9" w:rsidP="005C5080">
      <w:pPr>
        <w:pStyle w:val="ac"/>
        <w:spacing w:line="360" w:lineRule="auto"/>
        <w:ind w:left="397" w:right="-454"/>
        <w:jc w:val="both"/>
        <w:rPr>
          <w:sz w:val="26"/>
          <w:szCs w:val="26"/>
          <w:rtl/>
        </w:rPr>
      </w:pPr>
      <w:r>
        <w:rPr>
          <w:rFonts w:hint="cs"/>
          <w:sz w:val="26"/>
          <w:szCs w:val="26"/>
          <w:rtl/>
        </w:rPr>
        <w:t xml:space="preserve">כמוסבר לעיל, </w:t>
      </w:r>
      <w:r w:rsidR="005C5080">
        <w:rPr>
          <w:rFonts w:hint="cs"/>
          <w:sz w:val="26"/>
          <w:szCs w:val="26"/>
          <w:rtl/>
        </w:rPr>
        <w:t xml:space="preserve">גישת </w:t>
      </w:r>
      <w:r>
        <w:rPr>
          <w:rFonts w:hint="cs"/>
          <w:sz w:val="26"/>
          <w:szCs w:val="26"/>
          <w:rtl/>
        </w:rPr>
        <w:t>המשיב</w:t>
      </w:r>
      <w:r w:rsidR="005C5080">
        <w:rPr>
          <w:rFonts w:hint="cs"/>
          <w:sz w:val="26"/>
          <w:szCs w:val="26"/>
          <w:rtl/>
        </w:rPr>
        <w:t xml:space="preserve"> מותירה אי וודאות</w:t>
      </w:r>
      <w:r>
        <w:rPr>
          <w:rFonts w:hint="cs"/>
          <w:sz w:val="26"/>
          <w:szCs w:val="26"/>
          <w:rtl/>
        </w:rPr>
        <w:t xml:space="preserve">: בעניין הפחת בהקשר הנוכחי המשיב שולל את תחולת סעיף 126(ב) בשל </w:t>
      </w:r>
      <w:r w:rsidR="0043581B">
        <w:rPr>
          <w:rFonts w:hint="cs"/>
          <w:sz w:val="26"/>
          <w:szCs w:val="26"/>
          <w:rtl/>
        </w:rPr>
        <w:t xml:space="preserve">קיום </w:t>
      </w:r>
      <w:r>
        <w:rPr>
          <w:rFonts w:hint="cs"/>
          <w:sz w:val="26"/>
          <w:szCs w:val="26"/>
          <w:rtl/>
        </w:rPr>
        <w:t>ההפרש המותנה ואילו בהקשרים אחרים מוכן הוא להח</w:t>
      </w:r>
      <w:r w:rsidR="0043581B">
        <w:rPr>
          <w:rFonts w:hint="cs"/>
          <w:sz w:val="26"/>
          <w:szCs w:val="26"/>
          <w:rtl/>
        </w:rPr>
        <w:t>י</w:t>
      </w:r>
      <w:r>
        <w:rPr>
          <w:rFonts w:hint="cs"/>
          <w:sz w:val="26"/>
          <w:szCs w:val="26"/>
          <w:rtl/>
        </w:rPr>
        <w:t>ל את סעיף 126(ב)</w:t>
      </w:r>
      <w:r w:rsidR="00A5287E">
        <w:rPr>
          <w:rFonts w:hint="cs"/>
          <w:sz w:val="26"/>
          <w:szCs w:val="26"/>
          <w:rtl/>
        </w:rPr>
        <w:t xml:space="preserve"> על </w:t>
      </w:r>
      <w:r w:rsidR="0043581B">
        <w:rPr>
          <w:rFonts w:hint="cs"/>
          <w:sz w:val="26"/>
          <w:szCs w:val="26"/>
          <w:rtl/>
        </w:rPr>
        <w:t xml:space="preserve">אף </w:t>
      </w:r>
      <w:r w:rsidR="00A5287E">
        <w:rPr>
          <w:rFonts w:hint="cs"/>
          <w:sz w:val="26"/>
          <w:szCs w:val="26"/>
          <w:rtl/>
        </w:rPr>
        <w:t xml:space="preserve">קיומו של הפרש קבוע אצל החברה המחלקת. </w:t>
      </w:r>
      <w:r w:rsidR="005C5080">
        <w:rPr>
          <w:rFonts w:hint="cs"/>
          <w:sz w:val="26"/>
          <w:szCs w:val="26"/>
          <w:rtl/>
        </w:rPr>
        <w:t>האבחנה שעושה המשיב בין הפרשים שמקורם ב"עידוד" ו</w:t>
      </w:r>
      <w:r w:rsidR="00B52E0C">
        <w:rPr>
          <w:rFonts w:hint="cs"/>
          <w:sz w:val="26"/>
          <w:szCs w:val="26"/>
          <w:rtl/>
        </w:rPr>
        <w:t>ב</w:t>
      </w:r>
      <w:r w:rsidR="005C5080">
        <w:rPr>
          <w:rFonts w:hint="cs"/>
          <w:sz w:val="26"/>
          <w:szCs w:val="26"/>
          <w:rtl/>
        </w:rPr>
        <w:t>"הטבה" ו</w:t>
      </w:r>
      <w:r w:rsidR="00B52E0C">
        <w:rPr>
          <w:rFonts w:hint="cs"/>
          <w:sz w:val="26"/>
          <w:szCs w:val="26"/>
          <w:rtl/>
        </w:rPr>
        <w:t xml:space="preserve">בין </w:t>
      </w:r>
      <w:r w:rsidR="005C5080">
        <w:rPr>
          <w:rFonts w:hint="cs"/>
          <w:sz w:val="26"/>
          <w:szCs w:val="26"/>
          <w:rtl/>
        </w:rPr>
        <w:t xml:space="preserve">הפרשים אחרים, איננה נהירה או ישימה. </w:t>
      </w:r>
    </w:p>
    <w:p w:rsidR="00A5287E" w:rsidRDefault="00A5287E" w:rsidP="00793F8B">
      <w:pPr>
        <w:pStyle w:val="ac"/>
        <w:spacing w:line="360" w:lineRule="auto"/>
        <w:ind w:left="397" w:right="-454"/>
        <w:jc w:val="both"/>
        <w:rPr>
          <w:sz w:val="26"/>
          <w:szCs w:val="26"/>
          <w:rtl/>
        </w:rPr>
      </w:pPr>
    </w:p>
    <w:p w:rsidR="00A5287E" w:rsidRPr="00EA0EC9" w:rsidRDefault="00A5287E" w:rsidP="008223A5">
      <w:pPr>
        <w:pStyle w:val="ac"/>
        <w:spacing w:line="360" w:lineRule="auto"/>
        <w:ind w:left="397" w:right="-454"/>
        <w:jc w:val="both"/>
        <w:rPr>
          <w:sz w:val="26"/>
          <w:szCs w:val="26"/>
          <w:rtl/>
        </w:rPr>
      </w:pPr>
      <w:r>
        <w:rPr>
          <w:rFonts w:hint="cs"/>
          <w:sz w:val="26"/>
          <w:szCs w:val="26"/>
          <w:rtl/>
        </w:rPr>
        <w:t xml:space="preserve">בסופו של דבר אינני מוצא במילותיו של סעיף 126(ב) יסוד לקבל את גישת </w:t>
      </w:r>
      <w:r w:rsidR="005C5080">
        <w:rPr>
          <w:rFonts w:hint="cs"/>
          <w:sz w:val="26"/>
          <w:szCs w:val="26"/>
          <w:rtl/>
        </w:rPr>
        <w:t>המשיב, וככל שנדרש פתרון לעניין, עליו לבוא במסגרת</w:t>
      </w:r>
      <w:r w:rsidR="008223A5">
        <w:rPr>
          <w:rFonts w:hint="cs"/>
          <w:sz w:val="26"/>
          <w:szCs w:val="26"/>
          <w:rtl/>
        </w:rPr>
        <w:t xml:space="preserve"> תיקון ה</w:t>
      </w:r>
      <w:r w:rsidR="005C5080">
        <w:rPr>
          <w:rFonts w:hint="cs"/>
          <w:sz w:val="26"/>
          <w:szCs w:val="26"/>
          <w:rtl/>
        </w:rPr>
        <w:t xml:space="preserve">חקיקה </w:t>
      </w:r>
      <w:r w:rsidR="008223A5">
        <w:rPr>
          <w:rFonts w:hint="cs"/>
          <w:sz w:val="26"/>
          <w:szCs w:val="26"/>
          <w:rtl/>
        </w:rPr>
        <w:t>הקיימת.</w:t>
      </w:r>
      <w:r w:rsidR="005C5080">
        <w:rPr>
          <w:rFonts w:hint="cs"/>
          <w:sz w:val="26"/>
          <w:szCs w:val="26"/>
          <w:rtl/>
        </w:rPr>
        <w:t xml:space="preserve"> </w:t>
      </w:r>
      <w:r w:rsidR="00C15FFB">
        <w:rPr>
          <w:rFonts w:hint="cs"/>
          <w:sz w:val="26"/>
          <w:szCs w:val="26"/>
          <w:rtl/>
        </w:rPr>
        <w:t xml:space="preserve"> </w:t>
      </w:r>
    </w:p>
    <w:p w:rsidR="00066E63" w:rsidRDefault="00066E63" w:rsidP="00167F76">
      <w:pPr>
        <w:pStyle w:val="ac"/>
        <w:spacing w:line="360" w:lineRule="auto"/>
        <w:ind w:left="397" w:right="-454"/>
        <w:jc w:val="both"/>
        <w:rPr>
          <w:sz w:val="26"/>
          <w:szCs w:val="26"/>
          <w:rtl/>
        </w:rPr>
      </w:pPr>
    </w:p>
    <w:p w:rsidR="00C15FFB" w:rsidRPr="00066E63" w:rsidRDefault="00C15FFB" w:rsidP="00805BEB">
      <w:pPr>
        <w:pStyle w:val="ac"/>
        <w:numPr>
          <w:ilvl w:val="0"/>
          <w:numId w:val="1"/>
        </w:numPr>
        <w:spacing w:line="360" w:lineRule="auto"/>
        <w:ind w:left="417"/>
        <w:jc w:val="both"/>
        <w:rPr>
          <w:b/>
          <w:bCs/>
          <w:sz w:val="32"/>
          <w:szCs w:val="32"/>
          <w:u w:val="single"/>
          <w:rtl/>
        </w:rPr>
      </w:pPr>
      <w:r w:rsidRPr="00066E63">
        <w:rPr>
          <w:rFonts w:hint="cs"/>
          <w:b/>
          <w:bCs/>
          <w:sz w:val="32"/>
          <w:szCs w:val="32"/>
          <w:u w:val="single"/>
          <w:rtl/>
        </w:rPr>
        <w:t>סיום</w:t>
      </w:r>
    </w:p>
    <w:p w:rsidR="00167F76" w:rsidRDefault="00167F76" w:rsidP="00C15FFB">
      <w:pPr>
        <w:pStyle w:val="ac"/>
        <w:numPr>
          <w:ilvl w:val="0"/>
          <w:numId w:val="2"/>
        </w:numPr>
        <w:spacing w:line="360" w:lineRule="auto"/>
        <w:ind w:left="397" w:right="-454"/>
        <w:jc w:val="both"/>
        <w:rPr>
          <w:sz w:val="26"/>
          <w:szCs w:val="26"/>
        </w:rPr>
      </w:pPr>
      <w:r>
        <w:rPr>
          <w:rFonts w:hint="cs"/>
          <w:sz w:val="26"/>
          <w:szCs w:val="26"/>
          <w:rtl/>
        </w:rPr>
        <w:t xml:space="preserve">לנוכח האמור לעיל, אני מקבל את עמדת המערערת בסוגיה הראשית. </w:t>
      </w:r>
    </w:p>
    <w:p w:rsidR="00166612" w:rsidRDefault="00166612" w:rsidP="00166612">
      <w:pPr>
        <w:pStyle w:val="ac"/>
        <w:spacing w:line="360" w:lineRule="auto"/>
        <w:ind w:left="397" w:right="-454"/>
        <w:jc w:val="both"/>
        <w:rPr>
          <w:sz w:val="26"/>
          <w:szCs w:val="26"/>
        </w:rPr>
      </w:pPr>
    </w:p>
    <w:p w:rsidR="00694556" w:rsidRDefault="00167F76" w:rsidP="00C15FFB">
      <w:pPr>
        <w:pStyle w:val="ac"/>
        <w:numPr>
          <w:ilvl w:val="0"/>
          <w:numId w:val="2"/>
        </w:numPr>
        <w:spacing w:line="360" w:lineRule="auto"/>
        <w:ind w:left="397" w:right="-454"/>
        <w:jc w:val="both"/>
        <w:rPr>
          <w:sz w:val="26"/>
          <w:szCs w:val="26"/>
        </w:rPr>
      </w:pPr>
      <w:r>
        <w:rPr>
          <w:rFonts w:hint="cs"/>
          <w:sz w:val="26"/>
          <w:szCs w:val="26"/>
          <w:rtl/>
        </w:rPr>
        <w:t xml:space="preserve">הצדדים יגישו הודעה תוך 60 ימים בה יפרטו את עמדתם לגבי המשך ניהול הליך הערעור, לאור המסקנה אליה הגעתי בסוגיה הראשית. </w:t>
      </w:r>
    </w:p>
    <w:p w:rsidR="00C15FFB" w:rsidRPr="00C15FFB" w:rsidRDefault="00C15FFB" w:rsidP="00C15FFB">
      <w:pPr>
        <w:pStyle w:val="ac"/>
        <w:rPr>
          <w:sz w:val="26"/>
          <w:szCs w:val="26"/>
          <w:rtl/>
        </w:rPr>
      </w:pPr>
    </w:p>
    <w:p w:rsidR="00C15FFB" w:rsidRDefault="0043581B" w:rsidP="00A23F50">
      <w:pPr>
        <w:pStyle w:val="ac"/>
        <w:numPr>
          <w:ilvl w:val="0"/>
          <w:numId w:val="2"/>
        </w:numPr>
        <w:spacing w:line="360" w:lineRule="auto"/>
        <w:ind w:left="397" w:right="-454"/>
        <w:jc w:val="both"/>
        <w:rPr>
          <w:sz w:val="26"/>
          <w:szCs w:val="26"/>
        </w:rPr>
      </w:pPr>
      <w:r>
        <w:rPr>
          <w:rFonts w:hint="cs"/>
          <w:sz w:val="26"/>
          <w:szCs w:val="26"/>
          <w:rtl/>
        </w:rPr>
        <w:t>לאור טיב הסוגי</w:t>
      </w:r>
      <w:r w:rsidR="00C15FFB">
        <w:rPr>
          <w:rFonts w:hint="cs"/>
          <w:sz w:val="26"/>
          <w:szCs w:val="26"/>
          <w:rtl/>
        </w:rPr>
        <w:t xml:space="preserve">ה והחידוש שיש בה, ולאור העובדה כי בהסכמת הצדדים ההכרעה בה לא </w:t>
      </w:r>
      <w:r w:rsidR="00A23F50">
        <w:rPr>
          <w:rFonts w:hint="cs"/>
          <w:sz w:val="26"/>
          <w:szCs w:val="26"/>
          <w:rtl/>
        </w:rPr>
        <w:t>הצריכה קיום דיון ההוכחות, אנ</w:t>
      </w:r>
      <w:r>
        <w:rPr>
          <w:rFonts w:hint="cs"/>
          <w:sz w:val="26"/>
          <w:szCs w:val="26"/>
          <w:rtl/>
        </w:rPr>
        <w:t>י</w:t>
      </w:r>
      <w:r w:rsidR="00A23F50">
        <w:rPr>
          <w:rFonts w:hint="cs"/>
          <w:sz w:val="26"/>
          <w:szCs w:val="26"/>
          <w:rtl/>
        </w:rPr>
        <w:t xml:space="preserve"> נמנע מפסיקת</w:t>
      </w:r>
      <w:r>
        <w:rPr>
          <w:rFonts w:hint="cs"/>
          <w:sz w:val="26"/>
          <w:szCs w:val="26"/>
          <w:rtl/>
        </w:rPr>
        <w:t xml:space="preserve"> </w:t>
      </w:r>
      <w:r w:rsidR="00A23F50">
        <w:rPr>
          <w:rFonts w:hint="cs"/>
          <w:sz w:val="26"/>
          <w:szCs w:val="26"/>
          <w:rtl/>
        </w:rPr>
        <w:t>ה</w:t>
      </w:r>
      <w:r w:rsidR="00C15FFB">
        <w:rPr>
          <w:rFonts w:hint="cs"/>
          <w:sz w:val="26"/>
          <w:szCs w:val="26"/>
          <w:rtl/>
        </w:rPr>
        <w:t xml:space="preserve">וצאות משפט. </w:t>
      </w:r>
    </w:p>
    <w:p w:rsidR="00066E63" w:rsidRPr="00A23F50" w:rsidRDefault="00066E63" w:rsidP="00066E63">
      <w:pPr>
        <w:pStyle w:val="ac"/>
        <w:rPr>
          <w:sz w:val="26"/>
          <w:szCs w:val="26"/>
          <w:rtl/>
        </w:rPr>
      </w:pPr>
    </w:p>
    <w:p w:rsidR="00066E63" w:rsidRPr="00A23F50" w:rsidRDefault="00066E63" w:rsidP="00B02964">
      <w:pPr>
        <w:pStyle w:val="ac"/>
        <w:numPr>
          <w:ilvl w:val="0"/>
          <w:numId w:val="2"/>
        </w:numPr>
        <w:spacing w:line="360" w:lineRule="auto"/>
        <w:ind w:left="397" w:right="-454"/>
        <w:jc w:val="both"/>
        <w:rPr>
          <w:sz w:val="26"/>
          <w:szCs w:val="26"/>
          <w:rtl/>
        </w:rPr>
      </w:pPr>
      <w:r w:rsidRPr="00A23F50">
        <w:rPr>
          <w:rFonts w:hint="cs"/>
          <w:sz w:val="26"/>
          <w:szCs w:val="26"/>
          <w:rtl/>
        </w:rPr>
        <w:t>מזכירות בית המשפט תמציא את פסק</w:t>
      </w:r>
      <w:r w:rsidR="00A23F50">
        <w:rPr>
          <w:rFonts w:hint="cs"/>
          <w:sz w:val="26"/>
          <w:szCs w:val="26"/>
          <w:rtl/>
        </w:rPr>
        <w:t xml:space="preserve"> הדין החלקי לידי באי כוח הצדדים. </w:t>
      </w:r>
      <w:r w:rsidRPr="00A23F50">
        <w:rPr>
          <w:rFonts w:hint="cs"/>
          <w:sz w:val="26"/>
          <w:szCs w:val="26"/>
          <w:rtl/>
        </w:rPr>
        <w:t xml:space="preserve">ניתן לפרסם את פסק הדין החלקי ברבים. </w:t>
      </w:r>
    </w:p>
    <w:p w:rsidR="00694556" w:rsidRDefault="00694556">
      <w:pPr>
        <w:spacing w:line="360" w:lineRule="auto"/>
        <w:jc w:val="both"/>
        <w:rPr>
          <w:rFonts w:ascii="Arial" w:hAnsi="Arial"/>
          <w:noProof w:val="0"/>
          <w:rtl/>
        </w:rPr>
      </w:pPr>
    </w:p>
    <w:p w:rsidR="00694556" w:rsidRDefault="00005C8B" w:rsidP="00AA2D3C">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hint="cs"/>
              <w:noProof w:val="0"/>
              <w:rtl/>
            </w:rPr>
            <w:t>כ"ג אלול תשפ"ד</w:t>
          </w:r>
        </w:sdtContent>
      </w:sdt>
      <w:r>
        <w:rPr>
          <w:rFonts w:ascii="Arial" w:hAnsi="Arial"/>
          <w:noProof w:val="0"/>
          <w:rtl/>
        </w:rPr>
        <w:t xml:space="preserve">, </w:t>
      </w:r>
      <w:sdt>
        <w:sdtPr>
          <w:rPr>
            <w:rtl/>
          </w:rPr>
          <w:alias w:val="1456"/>
          <w:tag w:val="1456"/>
          <w:id w:val="-887566002"/>
          <w:text w:multiLine="1"/>
        </w:sdtPr>
        <w:sdtEndPr/>
        <w:sdtContent>
          <w:r>
            <w:rPr>
              <w:rFonts w:ascii="Arial" w:hAnsi="Arial" w:hint="cs"/>
              <w:noProof w:val="0"/>
              <w:rtl/>
            </w:rPr>
            <w:t>26 ספטמבר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AB2578">
      <w:pPr>
        <w:spacing w:line="360" w:lineRule="auto"/>
        <w:ind w:left="3600" w:firstLine="720"/>
        <w:jc w:val="both"/>
      </w:pPr>
      <w:sdt>
        <w:sdtPr>
          <w:rPr>
            <w:rtl/>
          </w:rPr>
          <w:alias w:val="MergeField"/>
          <w:tag w:val="1237"/>
          <w:id w:val="197290097"/>
        </w:sdtPr>
        <w:sdtEndPr/>
        <w:sdtContent>
          <w:r>
            <w:drawing>
              <wp:inline distT="0" distB="0" distL="0" distR="0" wp14:editId="50D07946">
                <wp:extent cx="981074"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81074" cy="1104900"/>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tbl>
      <w:tblPr>
        <w:tblStyle w:val="a9"/>
        <w:tblpPr w:leftFromText="180" w:rightFromText="180" w:vertAnchor="text" w:horzAnchor="page" w:tblpX="3949" w:tblpY="9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36"/>
      </w:tblGrid>
      <w:tr w:rsidR="002D724A" w:rsidRPr="00916A9C" w:rsidTr="002D724A">
        <w:tc>
          <w:tcPr>
            <w:tcW w:w="3036" w:type="dxa"/>
            <w:tcBorders>
              <w:top w:val="nil"/>
              <w:left w:val="nil"/>
              <w:bottom w:val="single" w:sz="4" w:space="0" w:color="auto"/>
              <w:right w:val="nil"/>
            </w:tcBorders>
            <w:vAlign w:val="center"/>
          </w:tcPr>
          <w:p w:rsidR="002D724A" w:rsidRPr="00916A9C" w:rsidRDefault="002D724A" w:rsidP="002D724A">
            <w:pPr>
              <w:jc w:val="center"/>
              <w:rPr>
                <w:rFonts w:ascii="Courier New" w:hAnsi="Courier New"/>
                <w:b/>
                <w:bCs/>
              </w:rPr>
            </w:pPr>
            <w:r>
              <w:drawing>
                <wp:anchor distT="0" distB="0" distL="114300" distR="114300" simplePos="0" relativeHeight="251659264" behindDoc="0" locked="0" layoutInCell="1" allowOverlap="1" wp14:anchorId="4271C2AE" wp14:editId="21466268">
                  <wp:simplePos x="0" y="0"/>
                  <wp:positionH relativeFrom="column">
                    <wp:posOffset>4445</wp:posOffset>
                  </wp:positionH>
                  <wp:positionV relativeFrom="paragraph">
                    <wp:posOffset>-938530</wp:posOffset>
                  </wp:positionV>
                  <wp:extent cx="1781175" cy="937895"/>
                  <wp:effectExtent l="0" t="0" r="9525" b="0"/>
                  <wp:wrapTopAndBottom/>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1175" cy="9378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D724A" w:rsidRPr="00916A9C" w:rsidTr="002D724A">
        <w:tc>
          <w:tcPr>
            <w:tcW w:w="3036" w:type="dxa"/>
            <w:tcBorders>
              <w:top w:val="single" w:sz="4" w:space="0" w:color="auto"/>
              <w:left w:val="nil"/>
              <w:bottom w:val="nil"/>
              <w:right w:val="nil"/>
            </w:tcBorders>
            <w:vAlign w:val="bottom"/>
          </w:tcPr>
          <w:p w:rsidR="002D724A" w:rsidRPr="00916A9C" w:rsidRDefault="002D724A" w:rsidP="002D724A">
            <w:pPr>
              <w:jc w:val="center"/>
              <w:rPr>
                <w:rFonts w:ascii="Courier New" w:hAnsi="Courier New"/>
                <w:b/>
                <w:bCs/>
                <w:rtl/>
              </w:rPr>
            </w:pPr>
            <w:r>
              <w:rPr>
                <w:rFonts w:ascii="Courier New" w:hAnsi="Courier New"/>
                <w:b/>
                <w:bCs/>
                <w:rtl/>
              </w:rPr>
              <w:t>ה</w:t>
            </w:r>
            <w:r>
              <w:rPr>
                <w:rFonts w:ascii="Courier New" w:hAnsi="Courier New" w:hint="cs"/>
                <w:b/>
                <w:bCs/>
                <w:rtl/>
              </w:rPr>
              <w:t xml:space="preserve">' </w:t>
            </w:r>
            <w:r>
              <w:rPr>
                <w:rFonts w:ascii="Courier New" w:hAnsi="Courier New"/>
                <w:b/>
                <w:bCs/>
                <w:rtl/>
              </w:rPr>
              <w:t>קירש, שופט</w:t>
            </w:r>
          </w:p>
          <w:p w:rsidR="002D724A" w:rsidRPr="00916A9C" w:rsidRDefault="002D724A" w:rsidP="002D724A">
            <w:pPr>
              <w:jc w:val="center"/>
              <w:rPr>
                <w:rFonts w:ascii="Courier New" w:hAnsi="Courier New"/>
                <w:b/>
                <w:bCs/>
              </w:rPr>
            </w:pPr>
          </w:p>
        </w:tc>
      </w:tr>
    </w:tbl>
    <w:p w:rsidR="00694556" w:rsidRDefault="00694556">
      <w:pPr>
        <w:spacing w:line="360" w:lineRule="auto"/>
        <w:jc w:val="both"/>
        <w:rPr>
          <w:rFonts w:ascii="Arial" w:hAnsi="Arial"/>
          <w:noProof w:val="0"/>
          <w:rtl/>
        </w:rPr>
      </w:pPr>
    </w:p>
    <w:p w:rsidR="002D724A" w:rsidRDefault="002D724A" w:rsidP="008A1DDB">
      <w:pPr>
        <w:rPr>
          <w:rtl/>
        </w:rPr>
      </w:pPr>
    </w:p>
    <w:p w:rsidR="002D724A" w:rsidRDefault="002D724A" w:rsidP="008A1DDB">
      <w:pPr>
        <w:rPr>
          <w:rtl/>
        </w:rPr>
      </w:pPr>
    </w:p>
    <w:p w:rsidR="002D724A" w:rsidRDefault="002D724A" w:rsidP="008A1DDB">
      <w:pPr>
        <w:rPr>
          <w:rtl/>
        </w:rPr>
      </w:pPr>
    </w:p>
    <w:p w:rsidR="002D724A" w:rsidRDefault="002D724A" w:rsidP="008A1DDB">
      <w:pPr>
        <w:rPr>
          <w:rtl/>
        </w:rPr>
      </w:pPr>
    </w:p>
    <w:p w:rsidR="002D724A" w:rsidRPr="003A3B41" w:rsidRDefault="002D724A" w:rsidP="008A1DDB"/>
    <w:p w:rsidR="002D724A" w:rsidRDefault="002D724A"/>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47A4A">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578" w:rsidRDefault="00AB257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B257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B2578">
      <w:rPr>
        <w:rStyle w:val="ab"/>
        <w:rtl/>
      </w:rPr>
      <w:t>30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578" w:rsidRDefault="00AB257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 w:id="1">
    <w:p w:rsidR="004C3C7C" w:rsidRPr="00DD6A25" w:rsidRDefault="004C3C7C">
      <w:pPr>
        <w:pStyle w:val="ad"/>
        <w:rPr>
          <w:sz w:val="22"/>
          <w:szCs w:val="22"/>
        </w:rPr>
      </w:pPr>
      <w:r w:rsidRPr="00DD6A25">
        <w:rPr>
          <w:rStyle w:val="af"/>
          <w:sz w:val="22"/>
          <w:szCs w:val="22"/>
        </w:rPr>
        <w:footnoteRef/>
      </w:r>
      <w:r w:rsidRPr="00DD6A25">
        <w:rPr>
          <w:sz w:val="22"/>
          <w:szCs w:val="22"/>
          <w:rtl/>
        </w:rPr>
        <w:t xml:space="preserve"> </w:t>
      </w:r>
      <w:r w:rsidRPr="00DD6A25">
        <w:rPr>
          <w:rFonts w:hint="cs"/>
          <w:sz w:val="22"/>
          <w:szCs w:val="22"/>
          <w:rtl/>
        </w:rPr>
        <w:t>בפסק דין זה, הביטוי "פער בין החשבונאות ובין המס" (וביטויים דומים) מכו</w:t>
      </w:r>
      <w:r w:rsidR="00EC735E" w:rsidRPr="00DD6A25">
        <w:rPr>
          <w:rFonts w:hint="cs"/>
          <w:sz w:val="22"/>
          <w:szCs w:val="22"/>
          <w:rtl/>
        </w:rPr>
        <w:t>ּ</w:t>
      </w:r>
      <w:r w:rsidRPr="00DD6A25">
        <w:rPr>
          <w:rFonts w:hint="cs"/>
          <w:sz w:val="22"/>
          <w:szCs w:val="22"/>
          <w:rtl/>
        </w:rPr>
        <w:t xml:space="preserve">ון למצב שבו לא נרשם פחת חשבונאי </w:t>
      </w:r>
      <w:r w:rsidRPr="00DD6A25">
        <w:rPr>
          <w:rFonts w:hint="cs"/>
          <w:b/>
          <w:bCs/>
          <w:sz w:val="22"/>
          <w:szCs w:val="22"/>
          <w:rtl/>
        </w:rPr>
        <w:t>כלל</w:t>
      </w:r>
      <w:r w:rsidR="00C56BA0" w:rsidRPr="00DD6A25">
        <w:rPr>
          <w:rFonts w:hint="cs"/>
          <w:sz w:val="22"/>
          <w:szCs w:val="22"/>
          <w:rtl/>
        </w:rPr>
        <w:t>, ו</w:t>
      </w:r>
      <w:r w:rsidR="00176AAD" w:rsidRPr="00DD6A25">
        <w:rPr>
          <w:rFonts w:hint="cs"/>
          <w:sz w:val="22"/>
          <w:szCs w:val="22"/>
          <w:rtl/>
        </w:rPr>
        <w:t xml:space="preserve">לא </w:t>
      </w:r>
      <w:r w:rsidR="00C56BA0" w:rsidRPr="00DD6A25">
        <w:rPr>
          <w:rFonts w:hint="cs"/>
          <w:sz w:val="22"/>
          <w:szCs w:val="22"/>
          <w:rtl/>
        </w:rPr>
        <w:t xml:space="preserve">למצב בו קיים </w:t>
      </w:r>
      <w:r w:rsidRPr="00DD6A25">
        <w:rPr>
          <w:rFonts w:hint="cs"/>
          <w:sz w:val="22"/>
          <w:szCs w:val="22"/>
          <w:rtl/>
        </w:rPr>
        <w:t xml:space="preserve">שוני בשיעורי (אחוזי) הפחת בין החשבונאות ובין המיסוי. </w:t>
      </w:r>
    </w:p>
  </w:footnote>
  <w:footnote w:id="2">
    <w:p w:rsidR="00777957" w:rsidRPr="00CE7A61" w:rsidRDefault="009B056D" w:rsidP="00CC49B1">
      <w:pPr>
        <w:pStyle w:val="ad"/>
        <w:jc w:val="both"/>
        <w:rPr>
          <w:sz w:val="22"/>
          <w:szCs w:val="22"/>
          <w:rtl/>
        </w:rPr>
      </w:pPr>
      <w:r w:rsidRPr="00CE7A61">
        <w:rPr>
          <w:rStyle w:val="af"/>
          <w:sz w:val="22"/>
          <w:szCs w:val="22"/>
        </w:rPr>
        <w:footnoteRef/>
      </w:r>
      <w:r w:rsidRPr="00CE7A61">
        <w:rPr>
          <w:sz w:val="22"/>
          <w:szCs w:val="22"/>
          <w:rtl/>
        </w:rPr>
        <w:t xml:space="preserve"> </w:t>
      </w:r>
      <w:r w:rsidRPr="00CE7A61">
        <w:rPr>
          <w:rFonts w:hint="cs"/>
          <w:sz w:val="22"/>
          <w:szCs w:val="22"/>
          <w:rtl/>
        </w:rPr>
        <w:t xml:space="preserve">טולו לדוגמה חברה שרכשה נדל"ן להשקעה בעלות של 1000 </w:t>
      </w:r>
      <w:r w:rsidR="007D1728" w:rsidRPr="00CE7A61">
        <w:rPr>
          <w:rFonts w:hint="cs"/>
          <w:sz w:val="22"/>
          <w:szCs w:val="22"/>
          <w:rtl/>
        </w:rPr>
        <w:t>ש"ח</w:t>
      </w:r>
      <w:r w:rsidR="003657FD" w:rsidRPr="00CE7A61">
        <w:rPr>
          <w:rFonts w:hint="cs"/>
          <w:sz w:val="22"/>
          <w:szCs w:val="22"/>
          <w:rtl/>
        </w:rPr>
        <w:t>. נניח כי שיעור הפחת הן ב</w:t>
      </w:r>
      <w:r w:rsidRPr="00CE7A61">
        <w:rPr>
          <w:rFonts w:hint="cs"/>
          <w:sz w:val="22"/>
          <w:szCs w:val="22"/>
          <w:rtl/>
        </w:rPr>
        <w:t xml:space="preserve">חשבונאות והן למס הוא 4% לשנה. הנכס מניב הכנסה שוטפת מהשכרה בגובה 60 </w:t>
      </w:r>
      <w:r w:rsidR="000922C9" w:rsidRPr="00CE7A61">
        <w:rPr>
          <w:rFonts w:hint="cs"/>
          <w:sz w:val="22"/>
          <w:szCs w:val="22"/>
          <w:rtl/>
        </w:rPr>
        <w:t xml:space="preserve">ש"ח </w:t>
      </w:r>
      <w:r w:rsidRPr="00CE7A61">
        <w:rPr>
          <w:rFonts w:hint="cs"/>
          <w:sz w:val="22"/>
          <w:szCs w:val="22"/>
          <w:rtl/>
        </w:rPr>
        <w:t xml:space="preserve">לשנה. </w:t>
      </w:r>
      <w:r w:rsidR="003657FD" w:rsidRPr="00CE7A61">
        <w:rPr>
          <w:rFonts w:hint="cs"/>
          <w:sz w:val="22"/>
          <w:szCs w:val="22"/>
          <w:rtl/>
        </w:rPr>
        <w:t xml:space="preserve">הנכס נמכר אחרי 9 שנים בתמורה ל- 1,900 ש"ח. </w:t>
      </w:r>
    </w:p>
    <w:p w:rsidR="00777957" w:rsidRPr="00CE7A61" w:rsidRDefault="00777957" w:rsidP="00CC49B1">
      <w:pPr>
        <w:pStyle w:val="ad"/>
        <w:jc w:val="both"/>
        <w:rPr>
          <w:sz w:val="22"/>
          <w:szCs w:val="22"/>
          <w:rtl/>
        </w:rPr>
      </w:pPr>
    </w:p>
    <w:p w:rsidR="009B056D" w:rsidRPr="00CE7A61" w:rsidRDefault="007D1728" w:rsidP="00CC49B1">
      <w:pPr>
        <w:pStyle w:val="ad"/>
        <w:jc w:val="both"/>
        <w:rPr>
          <w:sz w:val="22"/>
          <w:szCs w:val="22"/>
          <w:rtl/>
        </w:rPr>
      </w:pPr>
      <w:r w:rsidRPr="00CE7A61">
        <w:rPr>
          <w:rFonts w:hint="cs"/>
          <w:sz w:val="22"/>
          <w:szCs w:val="22"/>
          <w:rtl/>
        </w:rPr>
        <w:t xml:space="preserve">בחירה במודל העלות תניב רווח חשבונאי לחלוקה בסך 20 </w:t>
      </w:r>
      <w:r w:rsidR="000922C9" w:rsidRPr="00CE7A61">
        <w:rPr>
          <w:rFonts w:hint="cs"/>
          <w:sz w:val="22"/>
          <w:szCs w:val="22"/>
          <w:rtl/>
        </w:rPr>
        <w:t>ש"ח</w:t>
      </w:r>
      <w:r w:rsidRPr="00CE7A61">
        <w:rPr>
          <w:rFonts w:hint="cs"/>
          <w:sz w:val="22"/>
          <w:szCs w:val="22"/>
          <w:rtl/>
        </w:rPr>
        <w:t xml:space="preserve"> (=60-40) מדי שנה, ועם מכירת הנכס ייווצר עוד רווח חשבונאי של 1,260 </w:t>
      </w:r>
      <w:r w:rsidR="000922C9" w:rsidRPr="00CE7A61">
        <w:rPr>
          <w:rFonts w:hint="cs"/>
          <w:sz w:val="22"/>
          <w:szCs w:val="22"/>
          <w:rtl/>
        </w:rPr>
        <w:t>ש"ח</w:t>
      </w:r>
      <w:r w:rsidRPr="00CE7A61">
        <w:rPr>
          <w:rFonts w:hint="cs"/>
          <w:sz w:val="22"/>
          <w:szCs w:val="22"/>
          <w:rtl/>
        </w:rPr>
        <w:t xml:space="preserve"> ([</w:t>
      </w:r>
      <w:r w:rsidR="003657FD" w:rsidRPr="00CE7A61">
        <w:rPr>
          <w:sz w:val="22"/>
          <w:szCs w:val="22"/>
        </w:rPr>
        <w:t>40X9</w:t>
      </w:r>
      <w:r w:rsidRPr="00CE7A61">
        <w:rPr>
          <w:rFonts w:hint="cs"/>
          <w:sz w:val="22"/>
          <w:szCs w:val="22"/>
          <w:rtl/>
        </w:rPr>
        <w:t xml:space="preserve">) </w:t>
      </w:r>
      <w:r w:rsidRPr="00CE7A61">
        <w:rPr>
          <w:sz w:val="22"/>
          <w:szCs w:val="22"/>
          <w:rtl/>
        </w:rPr>
        <w:t>–</w:t>
      </w:r>
      <w:r w:rsidRPr="00CE7A61">
        <w:rPr>
          <w:rFonts w:hint="cs"/>
          <w:sz w:val="22"/>
          <w:szCs w:val="22"/>
          <w:rtl/>
        </w:rPr>
        <w:t xml:space="preserve"> 1000] </w:t>
      </w:r>
      <w:r w:rsidRPr="00CE7A61">
        <w:rPr>
          <w:sz w:val="22"/>
          <w:szCs w:val="22"/>
          <w:rtl/>
        </w:rPr>
        <w:t>–</w:t>
      </w:r>
      <w:r w:rsidRPr="00CE7A61">
        <w:rPr>
          <w:rFonts w:hint="cs"/>
          <w:sz w:val="22"/>
          <w:szCs w:val="22"/>
          <w:rtl/>
        </w:rPr>
        <w:t xml:space="preserve"> 1,900).</w:t>
      </w:r>
    </w:p>
    <w:p w:rsidR="00777957" w:rsidRPr="00CE7A61" w:rsidRDefault="00777957" w:rsidP="00CC49B1">
      <w:pPr>
        <w:pStyle w:val="ad"/>
        <w:jc w:val="both"/>
        <w:rPr>
          <w:sz w:val="22"/>
          <w:szCs w:val="22"/>
          <w:rtl/>
        </w:rPr>
      </w:pPr>
    </w:p>
    <w:p w:rsidR="003657FD" w:rsidRPr="00CE7A61" w:rsidRDefault="007D1728" w:rsidP="00861126">
      <w:pPr>
        <w:pStyle w:val="ad"/>
        <w:jc w:val="both"/>
        <w:rPr>
          <w:sz w:val="22"/>
          <w:szCs w:val="22"/>
          <w:rtl/>
        </w:rPr>
      </w:pPr>
      <w:r w:rsidRPr="00CE7A61">
        <w:rPr>
          <w:rFonts w:hint="cs"/>
          <w:sz w:val="22"/>
          <w:szCs w:val="22"/>
          <w:rtl/>
        </w:rPr>
        <w:t>לעומת זאת, וב</w:t>
      </w:r>
      <w:r w:rsidR="003657FD" w:rsidRPr="00CE7A61">
        <w:rPr>
          <w:rFonts w:hint="cs"/>
          <w:sz w:val="22"/>
          <w:szCs w:val="22"/>
          <w:rtl/>
        </w:rPr>
        <w:t>הנחה ש</w:t>
      </w:r>
      <w:r w:rsidR="000922C9" w:rsidRPr="00CE7A61">
        <w:rPr>
          <w:rFonts w:hint="cs"/>
          <w:sz w:val="22"/>
          <w:szCs w:val="22"/>
          <w:rtl/>
        </w:rPr>
        <w:t>עליית שווי הנכס אירעה באופ</w:t>
      </w:r>
      <w:r w:rsidRPr="00CE7A61">
        <w:rPr>
          <w:rFonts w:hint="cs"/>
          <w:sz w:val="22"/>
          <w:szCs w:val="22"/>
          <w:rtl/>
        </w:rPr>
        <w:t>ן אחיד על פני התקופה</w:t>
      </w:r>
      <w:r w:rsidR="003657FD" w:rsidRPr="00CE7A61">
        <w:rPr>
          <w:rFonts w:hint="cs"/>
          <w:sz w:val="22"/>
          <w:szCs w:val="22"/>
          <w:rtl/>
        </w:rPr>
        <w:t>,</w:t>
      </w:r>
      <w:r w:rsidRPr="00CE7A61">
        <w:rPr>
          <w:rFonts w:hint="cs"/>
          <w:sz w:val="22"/>
          <w:szCs w:val="22"/>
          <w:rtl/>
        </w:rPr>
        <w:t xml:space="preserve"> בחירה במודל השווי ההוגן תביא לרווח חשבונאי לחלוקה בסך 160 </w:t>
      </w:r>
      <w:r w:rsidR="000922C9" w:rsidRPr="00CE7A61">
        <w:rPr>
          <w:rFonts w:hint="cs"/>
          <w:sz w:val="22"/>
          <w:szCs w:val="22"/>
          <w:rtl/>
        </w:rPr>
        <w:t>ש"ח</w:t>
      </w:r>
      <w:r w:rsidRPr="00CE7A61">
        <w:rPr>
          <w:rFonts w:hint="cs"/>
          <w:sz w:val="22"/>
          <w:szCs w:val="22"/>
          <w:rtl/>
        </w:rPr>
        <w:t xml:space="preserve"> מדי שנה (60 מהשכרה ועוד 100 מעליית ערך הנכס), </w:t>
      </w:r>
      <w:r w:rsidR="00861126" w:rsidRPr="00CE7A61">
        <w:rPr>
          <w:rFonts w:hint="cs"/>
          <w:sz w:val="22"/>
          <w:szCs w:val="22"/>
          <w:rtl/>
        </w:rPr>
        <w:t>כ</w:t>
      </w:r>
      <w:r w:rsidRPr="00CE7A61">
        <w:rPr>
          <w:rFonts w:hint="cs"/>
          <w:sz w:val="22"/>
          <w:szCs w:val="22"/>
          <w:rtl/>
        </w:rPr>
        <w:t xml:space="preserve">אשר לגבי 60 </w:t>
      </w:r>
      <w:r w:rsidR="000922C9" w:rsidRPr="00CE7A61">
        <w:rPr>
          <w:rFonts w:hint="cs"/>
          <w:sz w:val="22"/>
          <w:szCs w:val="22"/>
          <w:rtl/>
        </w:rPr>
        <w:t>ש"ח</w:t>
      </w:r>
      <w:r w:rsidR="003657FD" w:rsidRPr="00CE7A61">
        <w:rPr>
          <w:rFonts w:hint="cs"/>
          <w:sz w:val="22"/>
          <w:szCs w:val="22"/>
          <w:rtl/>
        </w:rPr>
        <w:t xml:space="preserve"> מתוכם כן</w:t>
      </w:r>
      <w:r w:rsidRPr="00CE7A61">
        <w:rPr>
          <w:rFonts w:hint="cs"/>
          <w:sz w:val="22"/>
          <w:szCs w:val="22"/>
          <w:rtl/>
        </w:rPr>
        <w:t xml:space="preserve"> יחול</w:t>
      </w:r>
      <w:r w:rsidR="00861126" w:rsidRPr="00CE7A61">
        <w:rPr>
          <w:rFonts w:hint="cs"/>
          <w:sz w:val="22"/>
          <w:szCs w:val="22"/>
          <w:rtl/>
        </w:rPr>
        <w:t xml:space="preserve"> </w:t>
      </w:r>
      <w:r w:rsidRPr="00CE7A61">
        <w:rPr>
          <w:rFonts w:hint="cs"/>
          <w:sz w:val="22"/>
          <w:szCs w:val="22"/>
          <w:rtl/>
        </w:rPr>
        <w:t>סעיף 126(ב) על פי גישת המערערת. ע</w:t>
      </w:r>
      <w:r w:rsidR="00861126" w:rsidRPr="00CE7A61">
        <w:rPr>
          <w:rFonts w:hint="cs"/>
          <w:sz w:val="22"/>
          <w:szCs w:val="22"/>
          <w:rtl/>
        </w:rPr>
        <w:t>צ</w:t>
      </w:r>
      <w:r w:rsidRPr="00CE7A61">
        <w:rPr>
          <w:rFonts w:hint="cs"/>
          <w:sz w:val="22"/>
          <w:szCs w:val="22"/>
          <w:rtl/>
        </w:rPr>
        <w:t>ם מכירת הנכ</w:t>
      </w:r>
      <w:r w:rsidR="00CC49B1" w:rsidRPr="00CE7A61">
        <w:rPr>
          <w:rFonts w:hint="cs"/>
          <w:sz w:val="22"/>
          <w:szCs w:val="22"/>
          <w:rtl/>
        </w:rPr>
        <w:t xml:space="preserve">ס  לא </w:t>
      </w:r>
      <w:r w:rsidR="00861126" w:rsidRPr="00CE7A61">
        <w:rPr>
          <w:rFonts w:hint="cs"/>
          <w:sz w:val="22"/>
          <w:szCs w:val="22"/>
          <w:rtl/>
        </w:rPr>
        <w:t xml:space="preserve">תיצור </w:t>
      </w:r>
      <w:r w:rsidR="00CC49B1" w:rsidRPr="00CE7A61">
        <w:rPr>
          <w:rFonts w:hint="cs"/>
          <w:sz w:val="22"/>
          <w:szCs w:val="22"/>
          <w:rtl/>
        </w:rPr>
        <w:t xml:space="preserve">רווח חשבונאי נוסף. </w:t>
      </w:r>
    </w:p>
    <w:p w:rsidR="00777957" w:rsidRPr="00CE7A61" w:rsidRDefault="00777957" w:rsidP="00CC49B1">
      <w:pPr>
        <w:pStyle w:val="ad"/>
        <w:jc w:val="both"/>
        <w:rPr>
          <w:sz w:val="22"/>
          <w:szCs w:val="22"/>
          <w:rtl/>
        </w:rPr>
      </w:pPr>
    </w:p>
    <w:p w:rsidR="007D1728" w:rsidRPr="00CE7A61" w:rsidRDefault="00CC49B1" w:rsidP="00CC49B1">
      <w:pPr>
        <w:pStyle w:val="ad"/>
        <w:jc w:val="both"/>
        <w:rPr>
          <w:sz w:val="22"/>
          <w:szCs w:val="22"/>
          <w:rtl/>
        </w:rPr>
      </w:pPr>
      <w:r w:rsidRPr="00CE7A61">
        <w:rPr>
          <w:rFonts w:hint="cs"/>
          <w:sz w:val="22"/>
          <w:szCs w:val="22"/>
          <w:rtl/>
        </w:rPr>
        <w:t>ב</w:t>
      </w:r>
      <w:r w:rsidR="007D1728" w:rsidRPr="00CE7A61">
        <w:rPr>
          <w:rFonts w:hint="cs"/>
          <w:sz w:val="22"/>
          <w:szCs w:val="22"/>
          <w:rtl/>
        </w:rPr>
        <w:t xml:space="preserve">שתי החלופות סך הרווח החשבונאי על פני כל התקופה הוא 1,440 </w:t>
      </w:r>
      <w:r w:rsidR="000922C9" w:rsidRPr="00CE7A61">
        <w:rPr>
          <w:rFonts w:hint="cs"/>
          <w:sz w:val="22"/>
          <w:szCs w:val="22"/>
          <w:rtl/>
        </w:rPr>
        <w:t>ש"ח</w:t>
      </w:r>
      <w:r w:rsidR="007D1728" w:rsidRPr="00CE7A61">
        <w:rPr>
          <w:rFonts w:hint="cs"/>
          <w:sz w:val="22"/>
          <w:szCs w:val="22"/>
          <w:rtl/>
        </w:rPr>
        <w:t>.</w:t>
      </w:r>
    </w:p>
    <w:p w:rsidR="007D1728" w:rsidRPr="00CE7A61" w:rsidRDefault="007D1728">
      <w:pPr>
        <w:pStyle w:val="ad"/>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578" w:rsidRDefault="00AB257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79"/>
      <w:gridCol w:w="3528"/>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FD371C" w:rsidP="00ED539B">
              <w:pPr>
                <w:pStyle w:val="a3"/>
                <w:jc w:val="right"/>
                <w:rPr>
                  <w:b/>
                  <w:bCs/>
                  <w:noProof w:val="0"/>
                  <w:sz w:val="26"/>
                  <w:szCs w:val="26"/>
                  <w:rtl/>
                </w:rPr>
              </w:pPr>
              <w:r>
                <w:rPr>
                  <w:rFonts w:hint="cs"/>
                  <w:b/>
                  <w:bCs/>
                  <w:noProof w:val="0"/>
                  <w:sz w:val="26"/>
                  <w:szCs w:val="26"/>
                  <w:rtl/>
                </w:rPr>
                <w:t>26 ספטמבר 2024</w:t>
              </w:r>
            </w:p>
          </w:tc>
        </w:sdtContent>
      </w:sdt>
    </w:tr>
    <w:tr w:rsidR="00694556">
      <w:trPr>
        <w:trHeight w:val="337"/>
        <w:jc w:val="center"/>
      </w:trPr>
      <w:tc>
        <w:tcPr>
          <w:tcW w:w="8721" w:type="dxa"/>
          <w:gridSpan w:val="2"/>
        </w:tcPr>
        <w:p w:rsidR="00694556" w:rsidRDefault="00AB2578">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bookmarkStart w:id="0" w:name="_GoBack"/>
          <w:sdt>
            <w:sdtPr>
              <w:rPr>
                <w:rtl/>
              </w:rPr>
              <w:alias w:val="1171"/>
              <w:tag w:val="1171"/>
              <w:id w:val="-35435495"/>
              <w:text w:multiLine="1"/>
            </w:sdtPr>
            <w:sdtEndPr/>
            <w:sdtContent>
              <w:r w:rsidR="00D3013B">
                <w:rPr>
                  <w:b/>
                  <w:bCs/>
                  <w:noProof w:val="0"/>
                  <w:sz w:val="26"/>
                  <w:szCs w:val="26"/>
                  <w:rtl/>
                </w:rPr>
                <w:t>26652-02-22</w:t>
              </w:r>
            </w:sdtContent>
          </w:sdt>
          <w:bookmarkEnd w:id="0"/>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עוז טכנולוגיות (1972) בע"מ נ' פקיד שומה למפעלים גדולים</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578" w:rsidRDefault="00AB257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76CF"/>
    <w:multiLevelType w:val="hybridMultilevel"/>
    <w:tmpl w:val="F34A1FA2"/>
    <w:lvl w:ilvl="0" w:tplc="D7CC566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E7C1A"/>
    <w:multiLevelType w:val="hybridMultilevel"/>
    <w:tmpl w:val="56A8D63E"/>
    <w:lvl w:ilvl="0" w:tplc="A7201F2C">
      <w:start w:val="1"/>
      <w:numFmt w:val="bullet"/>
      <w:lvlText w:val="-"/>
      <w:lvlJc w:val="left"/>
      <w:pPr>
        <w:ind w:left="757" w:hanging="360"/>
      </w:pPr>
      <w:rPr>
        <w:rFonts w:ascii="David" w:eastAsia="Times New Roman" w:hAnsi="David" w:cs="David"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1DD415C9"/>
    <w:multiLevelType w:val="hybridMultilevel"/>
    <w:tmpl w:val="46E8C800"/>
    <w:lvl w:ilvl="0" w:tplc="4D5E9DB6">
      <w:start w:val="1"/>
      <w:numFmt w:val="hebrew1"/>
      <w:lvlText w:val="(%1)"/>
      <w:lvlJc w:val="left"/>
      <w:pPr>
        <w:ind w:left="757" w:hanging="360"/>
      </w:pPr>
      <w:rPr>
        <w:rFonts w:hint="default"/>
        <w:b w:val="0"/>
        <w:bCs w:val="0"/>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 w15:restartNumberingAfterBreak="0">
    <w:nsid w:val="3C50077F"/>
    <w:multiLevelType w:val="hybridMultilevel"/>
    <w:tmpl w:val="9F8EAF08"/>
    <w:lvl w:ilvl="0" w:tplc="3216EA7E">
      <w:start w:val="1"/>
      <w:numFmt w:val="decimal"/>
      <w:lvlText w:val="%1."/>
      <w:lvlJc w:val="left"/>
      <w:pPr>
        <w:ind w:left="144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FA75FF5"/>
    <w:multiLevelType w:val="hybridMultilevel"/>
    <w:tmpl w:val="9F8EAF08"/>
    <w:lvl w:ilvl="0" w:tplc="3216EA7E">
      <w:start w:val="1"/>
      <w:numFmt w:val="decimal"/>
      <w:lvlText w:val="%1."/>
      <w:lvlJc w:val="left"/>
      <w:pPr>
        <w:ind w:left="144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4193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41930&amp;lt;/CaseID&amp;gt;_x000d__x000a_        &amp;lt;CaseMonth&amp;gt;2&amp;lt;/CaseMonth&amp;gt;_x000d__x000a_        &amp;lt;CaseYear&amp;gt;2022&amp;lt;/CaseYear&amp;gt;_x000d__x000a_        &amp;lt;CaseNumber&amp;gt;26652&amp;lt;/CaseNumber&amp;gt;_x000d__x000a_        &amp;lt;NumeratorGroupID&amp;gt;1&amp;lt;/NumeratorGroupID&amp;gt;_x000d__x000a_        &amp;lt;CaseName&amp;gt;עוז טכנולוגיות (1972) בע&amp;quot;מ נ&amp;#39; פקיד שומה למפעלים גדולים&amp;lt;/CaseName&amp;gt;_x000d__x000a_        &amp;lt;CourtID&amp;gt;15&amp;lt;/CourtID&amp;gt;_x000d__x000a_        &amp;lt;CaseTypeID&amp;gt;10113&amp;lt;/CaseTypeID&amp;gt;_x000d__x000a_        &amp;lt;CaseInterestID&amp;gt;65&amp;lt;/CaseInterestID&amp;gt;_x000d__x000a_        &amp;lt;CaseJudgeName&amp;gt;הרי קירש&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26652-02-22&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2-13T09:19: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הרי&amp;lt;/CaseJudgeFirstName&amp;gt;_x000d__x000a_        &amp;lt;CaseJudgeLastName&amp;gt;קירש&amp;lt;/CaseJudgeLastName&amp;gt;_x000d__x000a_        &amp;lt;JudicalPersonID&amp;gt;015522196@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עבר לתיוק פתוחי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41930&amp;lt;/CaseID&amp;gt;_x000d__x000a_        &amp;lt;CaseMonth&amp;gt;2&amp;lt;/CaseMonth&amp;gt;_x000d__x000a_        &amp;lt;CaseYear&amp;gt;2022&amp;lt;/CaseYear&amp;gt;_x000d__x000a_        &amp;lt;CaseNumber&amp;gt;26652&amp;lt;/CaseNumber&amp;gt;_x000d__x000a_        &amp;lt;NumeratorGroupID&amp;gt;1&amp;lt;/NumeratorGroupID&amp;gt;_x000d__x000a_        &amp;lt;CaseName&amp;gt;עוז טכנולוגיות (1972) בע&amp;quot;מ נ&amp;#39; פקיד שומה למפעלים גדולים&amp;lt;/CaseName&amp;gt;_x000d__x000a_        &amp;lt;CourtID&amp;gt;15&amp;lt;/CourtID&amp;gt;_x000d__x000a_        &amp;lt;CaseTypeID&amp;gt;10113&amp;lt;/CaseTypeID&amp;gt;_x000d__x000a_        &amp;lt;CaseInterestID&amp;gt;65&amp;lt;/CaseInterestID&amp;gt;_x000d__x000a_        &amp;lt;CaseJudgeName&amp;gt;הרי קירש&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26652-02-22&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2-02-13T09:19: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הרי&amp;lt;/CaseJudgeFirstName&amp;gt;_x000d__x000a_        &amp;lt;CaseJudgeLastName&amp;gt;קירש&amp;lt;/CaseJudgeLastName&amp;gt;_x000d__x000a_        &amp;lt;JudicalPersonID&amp;gt;015522196@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עבר לתיוק פתוח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51222&amp;lt;/DecisionID&amp;gt;_x000d__x000a_        &amp;lt;DecisionName&amp;gt;פסק דין  שניתנה ע&amp;quot;י  הרי קירש&amp;lt;/DecisionName&amp;gt;_x000d__x000a_        &amp;lt;DecisionStatusID&amp;gt;1&amp;lt;/DecisionStatusID&amp;gt;_x000d__x000a_        &amp;lt;DecisionStatusChangeDate&amp;gt;2024-09-25T15:15:20.3+03:00&amp;lt;/DecisionStatusChangeDate&amp;gt;_x000d__x000a_        &amp;lt;DecisionSignatureDate&amp;gt;2024-07-18T10:01:22.417+03:00&amp;lt;/DecisionSignatureDate&amp;gt;_x000d__x000a_        &amp;lt;DecisionSignatureUserID&amp;gt;015522196@GOV.IL&amp;lt;/DecisionSignatureUserID&amp;gt;_x000d__x000a_        &amp;lt;DecisionCreateDate&amp;gt;2024-07-18T10:06:41.603+03:00&amp;lt;/DecisionCreateDate&amp;gt;_x000d__x000a_        &amp;lt;DecisionChangeDate&amp;gt;2024-09-25T15:15:20.363+03:00&amp;lt;/DecisionChangeDate&amp;gt;_x000d__x000a_        &amp;lt;DecisionChangeUserID&amp;gt;01552219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20228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552219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2781374@GOV.IL&amp;lt;/DecisionCreationUserID&amp;gt;_x000d__x000a_        &amp;lt;DecisionDisplayName&amp;gt;פסק דין  שניתנה ע&amp;quot;י  הרי קירש&amp;lt;/DecisionDisplayName&amp;gt;_x000d__x000a_        &amp;lt;IsScanned&amp;gt;false&amp;lt;/IsScanned&amp;gt;_x000d__x000a_        &amp;lt;DecisionSignatureUserName&amp;gt;הרי קיר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2951222&amp;lt;/DecisionID&amp;gt;_x000d__x000a_        &amp;lt;CaseID&amp;gt;79041930&amp;lt;/CaseID&amp;gt;_x000d__x000a_        &amp;lt;IsOriginal&amp;gt;true&amp;lt;/IsOriginal&amp;gt;_x000d__x000a_        &amp;lt;IsDeleted&amp;gt;false&amp;lt;/IsDeleted&amp;gt;_x000d__x000a_        &amp;lt;CaseName&amp;gt;עוז טכנולוגיות (1972) בע&amp;quot;מ נ&amp;#39; פקיד שומה למפעלים גדולים&amp;lt;/CaseName&amp;gt;_x000d__x000a_        &amp;lt;CaseDisplayIdentifier&amp;gt;26652-02-22 ע&amp;quot;מ&amp;lt;/CaseDisplayIdentifier&amp;gt;_x000d__x000a_      &amp;lt;/dt_DecisionCase&amp;gt;_x000d__x000a_    &amp;lt;/DecisionDS&amp;gt;_x000d__x000a_  &amp;lt;/diffgr:diffgram&amp;gt;_x000d__x000a_&amp;lt;/DecisionDS&amp;gt;"/>
    <w:docVar w:name="DecisionID" w:val="152951222"/>
    <w:docVar w:name="WordClientAssemblyName" w:val="NGCS.Decision.ClientWordBL"/>
    <w:docVar w:name="WordClientClassName" w:val="NGCS.Decision.ClientWordBL.DecisionClient"/>
  </w:docVars>
  <w:rsids>
    <w:rsidRoot w:val="00694556"/>
    <w:rsid w:val="00005C8B"/>
    <w:rsid w:val="00010982"/>
    <w:rsid w:val="00015C86"/>
    <w:rsid w:val="00021832"/>
    <w:rsid w:val="000249C1"/>
    <w:rsid w:val="0002705D"/>
    <w:rsid w:val="000446E6"/>
    <w:rsid w:val="000451D7"/>
    <w:rsid w:val="000473DF"/>
    <w:rsid w:val="0005317B"/>
    <w:rsid w:val="00055A7C"/>
    <w:rsid w:val="000564AB"/>
    <w:rsid w:val="00060F9F"/>
    <w:rsid w:val="0006511E"/>
    <w:rsid w:val="00066E63"/>
    <w:rsid w:val="000748A8"/>
    <w:rsid w:val="00085C50"/>
    <w:rsid w:val="000911C7"/>
    <w:rsid w:val="000922C9"/>
    <w:rsid w:val="000A3BFD"/>
    <w:rsid w:val="000C078C"/>
    <w:rsid w:val="000C0FE3"/>
    <w:rsid w:val="000C46BE"/>
    <w:rsid w:val="000C4EED"/>
    <w:rsid w:val="000D00E9"/>
    <w:rsid w:val="000E6A75"/>
    <w:rsid w:val="0010587D"/>
    <w:rsid w:val="001101AE"/>
    <w:rsid w:val="00111E1D"/>
    <w:rsid w:val="00123C7A"/>
    <w:rsid w:val="00124403"/>
    <w:rsid w:val="001475A4"/>
    <w:rsid w:val="001558BF"/>
    <w:rsid w:val="00156121"/>
    <w:rsid w:val="0016027F"/>
    <w:rsid w:val="00163ED0"/>
    <w:rsid w:val="00165C16"/>
    <w:rsid w:val="00166612"/>
    <w:rsid w:val="0016770D"/>
    <w:rsid w:val="00167F76"/>
    <w:rsid w:val="00176AAD"/>
    <w:rsid w:val="00180610"/>
    <w:rsid w:val="001815A6"/>
    <w:rsid w:val="00185023"/>
    <w:rsid w:val="0019141F"/>
    <w:rsid w:val="0019238F"/>
    <w:rsid w:val="00195B7F"/>
    <w:rsid w:val="00196487"/>
    <w:rsid w:val="00196C48"/>
    <w:rsid w:val="001A48E9"/>
    <w:rsid w:val="001B3576"/>
    <w:rsid w:val="001B60FA"/>
    <w:rsid w:val="001C08E7"/>
    <w:rsid w:val="001C4003"/>
    <w:rsid w:val="001C417D"/>
    <w:rsid w:val="001C7B35"/>
    <w:rsid w:val="001D0089"/>
    <w:rsid w:val="001F1FFE"/>
    <w:rsid w:val="002009C9"/>
    <w:rsid w:val="00200A94"/>
    <w:rsid w:val="002200C0"/>
    <w:rsid w:val="002204D2"/>
    <w:rsid w:val="00221C09"/>
    <w:rsid w:val="00223E7C"/>
    <w:rsid w:val="00230E92"/>
    <w:rsid w:val="00231A2F"/>
    <w:rsid w:val="002365E1"/>
    <w:rsid w:val="002401E7"/>
    <w:rsid w:val="00244577"/>
    <w:rsid w:val="00244DB9"/>
    <w:rsid w:val="0024755E"/>
    <w:rsid w:val="00247CD3"/>
    <w:rsid w:val="00252899"/>
    <w:rsid w:val="00261240"/>
    <w:rsid w:val="0026161D"/>
    <w:rsid w:val="0028374C"/>
    <w:rsid w:val="00285A45"/>
    <w:rsid w:val="00286C3A"/>
    <w:rsid w:val="002905B4"/>
    <w:rsid w:val="00292E23"/>
    <w:rsid w:val="002B41BD"/>
    <w:rsid w:val="002B4F3E"/>
    <w:rsid w:val="002B5FD8"/>
    <w:rsid w:val="002C147B"/>
    <w:rsid w:val="002C7E3C"/>
    <w:rsid w:val="002D724A"/>
    <w:rsid w:val="002E4414"/>
    <w:rsid w:val="002E7A34"/>
    <w:rsid w:val="002F4B59"/>
    <w:rsid w:val="00304041"/>
    <w:rsid w:val="00311378"/>
    <w:rsid w:val="00315646"/>
    <w:rsid w:val="00317FF3"/>
    <w:rsid w:val="003210D6"/>
    <w:rsid w:val="0034193C"/>
    <w:rsid w:val="00350BB9"/>
    <w:rsid w:val="003538F1"/>
    <w:rsid w:val="00360D8F"/>
    <w:rsid w:val="0036430B"/>
    <w:rsid w:val="003657FD"/>
    <w:rsid w:val="00370AE0"/>
    <w:rsid w:val="00374249"/>
    <w:rsid w:val="003A30C5"/>
    <w:rsid w:val="003A491B"/>
    <w:rsid w:val="003A5844"/>
    <w:rsid w:val="003B6DCE"/>
    <w:rsid w:val="003D24E5"/>
    <w:rsid w:val="003D4C2F"/>
    <w:rsid w:val="003E769F"/>
    <w:rsid w:val="003F5CE7"/>
    <w:rsid w:val="003F5D7E"/>
    <w:rsid w:val="00414251"/>
    <w:rsid w:val="00426F68"/>
    <w:rsid w:val="00432AF8"/>
    <w:rsid w:val="0043581B"/>
    <w:rsid w:val="00446116"/>
    <w:rsid w:val="004474A9"/>
    <w:rsid w:val="00454CA8"/>
    <w:rsid w:val="004653C7"/>
    <w:rsid w:val="00471FC8"/>
    <w:rsid w:val="00483627"/>
    <w:rsid w:val="004843F4"/>
    <w:rsid w:val="004A2292"/>
    <w:rsid w:val="004A2370"/>
    <w:rsid w:val="004A5703"/>
    <w:rsid w:val="004B5E84"/>
    <w:rsid w:val="004B640D"/>
    <w:rsid w:val="004B7FE0"/>
    <w:rsid w:val="004C1739"/>
    <w:rsid w:val="004C36CC"/>
    <w:rsid w:val="004C3C7C"/>
    <w:rsid w:val="004C46A7"/>
    <w:rsid w:val="004C53F0"/>
    <w:rsid w:val="004C767B"/>
    <w:rsid w:val="004C77A1"/>
    <w:rsid w:val="004D38FC"/>
    <w:rsid w:val="004D431E"/>
    <w:rsid w:val="004E6E3C"/>
    <w:rsid w:val="004F7B5A"/>
    <w:rsid w:val="00504103"/>
    <w:rsid w:val="00510BDD"/>
    <w:rsid w:val="00517CE3"/>
    <w:rsid w:val="00533E89"/>
    <w:rsid w:val="00547DB7"/>
    <w:rsid w:val="005510C9"/>
    <w:rsid w:val="0055756A"/>
    <w:rsid w:val="00563C7D"/>
    <w:rsid w:val="00571925"/>
    <w:rsid w:val="0058276E"/>
    <w:rsid w:val="00595A49"/>
    <w:rsid w:val="005A6526"/>
    <w:rsid w:val="005B5018"/>
    <w:rsid w:val="005B6A80"/>
    <w:rsid w:val="005C5080"/>
    <w:rsid w:val="005C6964"/>
    <w:rsid w:val="005E5D17"/>
    <w:rsid w:val="00620C53"/>
    <w:rsid w:val="00622BAA"/>
    <w:rsid w:val="006249B6"/>
    <w:rsid w:val="00637E13"/>
    <w:rsid w:val="00640BDD"/>
    <w:rsid w:val="00640C94"/>
    <w:rsid w:val="006433E5"/>
    <w:rsid w:val="006509CC"/>
    <w:rsid w:val="00654AC8"/>
    <w:rsid w:val="006673CD"/>
    <w:rsid w:val="00671BD5"/>
    <w:rsid w:val="006734C2"/>
    <w:rsid w:val="0068684D"/>
    <w:rsid w:val="00691AE0"/>
    <w:rsid w:val="00694556"/>
    <w:rsid w:val="006A4767"/>
    <w:rsid w:val="006A5BA4"/>
    <w:rsid w:val="006B7D11"/>
    <w:rsid w:val="006D2BA8"/>
    <w:rsid w:val="006E0D2A"/>
    <w:rsid w:val="006E1A53"/>
    <w:rsid w:val="00712404"/>
    <w:rsid w:val="0071355B"/>
    <w:rsid w:val="00725E79"/>
    <w:rsid w:val="00731CB6"/>
    <w:rsid w:val="00741BCB"/>
    <w:rsid w:val="00750CCE"/>
    <w:rsid w:val="00765233"/>
    <w:rsid w:val="00777957"/>
    <w:rsid w:val="00780CA3"/>
    <w:rsid w:val="00782463"/>
    <w:rsid w:val="00785BE5"/>
    <w:rsid w:val="00793F8B"/>
    <w:rsid w:val="00794D9E"/>
    <w:rsid w:val="007A626C"/>
    <w:rsid w:val="007B0836"/>
    <w:rsid w:val="007B20B6"/>
    <w:rsid w:val="007B3CF9"/>
    <w:rsid w:val="007B7DEE"/>
    <w:rsid w:val="007D1728"/>
    <w:rsid w:val="007D35DD"/>
    <w:rsid w:val="007D62BE"/>
    <w:rsid w:val="007E05FC"/>
    <w:rsid w:val="007E3CDA"/>
    <w:rsid w:val="007E631C"/>
    <w:rsid w:val="007F3DAE"/>
    <w:rsid w:val="007F5051"/>
    <w:rsid w:val="00805BEB"/>
    <w:rsid w:val="00814938"/>
    <w:rsid w:val="00816DE4"/>
    <w:rsid w:val="00820005"/>
    <w:rsid w:val="008212F4"/>
    <w:rsid w:val="0082237A"/>
    <w:rsid w:val="008223A5"/>
    <w:rsid w:val="008232A2"/>
    <w:rsid w:val="0084536F"/>
    <w:rsid w:val="00846236"/>
    <w:rsid w:val="00850EBB"/>
    <w:rsid w:val="008544B1"/>
    <w:rsid w:val="008568B7"/>
    <w:rsid w:val="00861126"/>
    <w:rsid w:val="00871CC8"/>
    <w:rsid w:val="00890993"/>
    <w:rsid w:val="008A632F"/>
    <w:rsid w:val="008A639A"/>
    <w:rsid w:val="008B2B38"/>
    <w:rsid w:val="008B2D35"/>
    <w:rsid w:val="008B4120"/>
    <w:rsid w:val="008B68E3"/>
    <w:rsid w:val="008B6BEA"/>
    <w:rsid w:val="008B6E1B"/>
    <w:rsid w:val="008C44FA"/>
    <w:rsid w:val="008F79CD"/>
    <w:rsid w:val="00903896"/>
    <w:rsid w:val="0091178D"/>
    <w:rsid w:val="009125B7"/>
    <w:rsid w:val="00913EAB"/>
    <w:rsid w:val="009156F5"/>
    <w:rsid w:val="00917612"/>
    <w:rsid w:val="009249FC"/>
    <w:rsid w:val="00942147"/>
    <w:rsid w:val="00947A4A"/>
    <w:rsid w:val="00961651"/>
    <w:rsid w:val="00965224"/>
    <w:rsid w:val="00977CFD"/>
    <w:rsid w:val="0098161C"/>
    <w:rsid w:val="009918E8"/>
    <w:rsid w:val="0099567A"/>
    <w:rsid w:val="009A633D"/>
    <w:rsid w:val="009A7C00"/>
    <w:rsid w:val="009B056D"/>
    <w:rsid w:val="009B7D33"/>
    <w:rsid w:val="009C0306"/>
    <w:rsid w:val="009C70A4"/>
    <w:rsid w:val="009D784D"/>
    <w:rsid w:val="009D7BA4"/>
    <w:rsid w:val="009E0191"/>
    <w:rsid w:val="009E687F"/>
    <w:rsid w:val="00A1483E"/>
    <w:rsid w:val="00A2051D"/>
    <w:rsid w:val="00A23F50"/>
    <w:rsid w:val="00A30A72"/>
    <w:rsid w:val="00A31036"/>
    <w:rsid w:val="00A318A3"/>
    <w:rsid w:val="00A34703"/>
    <w:rsid w:val="00A35425"/>
    <w:rsid w:val="00A40347"/>
    <w:rsid w:val="00A5287E"/>
    <w:rsid w:val="00A54573"/>
    <w:rsid w:val="00A56477"/>
    <w:rsid w:val="00A572D4"/>
    <w:rsid w:val="00A60316"/>
    <w:rsid w:val="00A60CF8"/>
    <w:rsid w:val="00A6309E"/>
    <w:rsid w:val="00A66D34"/>
    <w:rsid w:val="00A67207"/>
    <w:rsid w:val="00A80FEB"/>
    <w:rsid w:val="00A83221"/>
    <w:rsid w:val="00A845D3"/>
    <w:rsid w:val="00A929E2"/>
    <w:rsid w:val="00A949BF"/>
    <w:rsid w:val="00AA2D3C"/>
    <w:rsid w:val="00AB2578"/>
    <w:rsid w:val="00AB4856"/>
    <w:rsid w:val="00AC08C7"/>
    <w:rsid w:val="00AD4346"/>
    <w:rsid w:val="00AE5CA4"/>
    <w:rsid w:val="00B055A9"/>
    <w:rsid w:val="00B05C7F"/>
    <w:rsid w:val="00B065D8"/>
    <w:rsid w:val="00B12911"/>
    <w:rsid w:val="00B27B21"/>
    <w:rsid w:val="00B37250"/>
    <w:rsid w:val="00B40299"/>
    <w:rsid w:val="00B4592F"/>
    <w:rsid w:val="00B45C69"/>
    <w:rsid w:val="00B52E0C"/>
    <w:rsid w:val="00B55BBB"/>
    <w:rsid w:val="00B61662"/>
    <w:rsid w:val="00B67C12"/>
    <w:rsid w:val="00B80CBD"/>
    <w:rsid w:val="00B86A5E"/>
    <w:rsid w:val="00BA2272"/>
    <w:rsid w:val="00BA4117"/>
    <w:rsid w:val="00BA7C68"/>
    <w:rsid w:val="00BB6A0C"/>
    <w:rsid w:val="00BC1ED2"/>
    <w:rsid w:val="00BD401A"/>
    <w:rsid w:val="00BE0BE9"/>
    <w:rsid w:val="00BE24EF"/>
    <w:rsid w:val="00BE5810"/>
    <w:rsid w:val="00BF2C4D"/>
    <w:rsid w:val="00C10542"/>
    <w:rsid w:val="00C15FFB"/>
    <w:rsid w:val="00C16F76"/>
    <w:rsid w:val="00C202B0"/>
    <w:rsid w:val="00C2716C"/>
    <w:rsid w:val="00C34462"/>
    <w:rsid w:val="00C36BBB"/>
    <w:rsid w:val="00C44FFA"/>
    <w:rsid w:val="00C5545C"/>
    <w:rsid w:val="00C556F7"/>
    <w:rsid w:val="00C56BA0"/>
    <w:rsid w:val="00C621CF"/>
    <w:rsid w:val="00C764B7"/>
    <w:rsid w:val="00C8284C"/>
    <w:rsid w:val="00C840E6"/>
    <w:rsid w:val="00C84DF7"/>
    <w:rsid w:val="00C96C25"/>
    <w:rsid w:val="00CA131C"/>
    <w:rsid w:val="00CA3D8E"/>
    <w:rsid w:val="00CA699A"/>
    <w:rsid w:val="00CA7928"/>
    <w:rsid w:val="00CC0CEF"/>
    <w:rsid w:val="00CC3635"/>
    <w:rsid w:val="00CC49B1"/>
    <w:rsid w:val="00CD3F05"/>
    <w:rsid w:val="00CD5356"/>
    <w:rsid w:val="00CD571B"/>
    <w:rsid w:val="00CE7A61"/>
    <w:rsid w:val="00CF4B04"/>
    <w:rsid w:val="00D00DAF"/>
    <w:rsid w:val="00D12ACA"/>
    <w:rsid w:val="00D14511"/>
    <w:rsid w:val="00D161A6"/>
    <w:rsid w:val="00D16E14"/>
    <w:rsid w:val="00D2361C"/>
    <w:rsid w:val="00D3013B"/>
    <w:rsid w:val="00D32CD1"/>
    <w:rsid w:val="00D53924"/>
    <w:rsid w:val="00D60771"/>
    <w:rsid w:val="00D612A2"/>
    <w:rsid w:val="00D74D9F"/>
    <w:rsid w:val="00D75F5C"/>
    <w:rsid w:val="00D76FD8"/>
    <w:rsid w:val="00D84B6C"/>
    <w:rsid w:val="00D91B24"/>
    <w:rsid w:val="00D9459B"/>
    <w:rsid w:val="00D973B8"/>
    <w:rsid w:val="00DA0773"/>
    <w:rsid w:val="00DA122E"/>
    <w:rsid w:val="00DA4F6C"/>
    <w:rsid w:val="00DB2690"/>
    <w:rsid w:val="00DC05E5"/>
    <w:rsid w:val="00DC3AF0"/>
    <w:rsid w:val="00DD6A25"/>
    <w:rsid w:val="00DE1C4F"/>
    <w:rsid w:val="00DE25F9"/>
    <w:rsid w:val="00DF459E"/>
    <w:rsid w:val="00E02291"/>
    <w:rsid w:val="00E029E4"/>
    <w:rsid w:val="00E05AC1"/>
    <w:rsid w:val="00E10087"/>
    <w:rsid w:val="00E23A4B"/>
    <w:rsid w:val="00E23EE7"/>
    <w:rsid w:val="00E24CE3"/>
    <w:rsid w:val="00E32EE5"/>
    <w:rsid w:val="00E36513"/>
    <w:rsid w:val="00E425A6"/>
    <w:rsid w:val="00E4498C"/>
    <w:rsid w:val="00E4544D"/>
    <w:rsid w:val="00E463C5"/>
    <w:rsid w:val="00E54642"/>
    <w:rsid w:val="00E557FE"/>
    <w:rsid w:val="00E67C94"/>
    <w:rsid w:val="00E71B5F"/>
    <w:rsid w:val="00E739C1"/>
    <w:rsid w:val="00E85964"/>
    <w:rsid w:val="00E871A4"/>
    <w:rsid w:val="00E87A11"/>
    <w:rsid w:val="00EA0EC9"/>
    <w:rsid w:val="00EB25B9"/>
    <w:rsid w:val="00EC735E"/>
    <w:rsid w:val="00EC752F"/>
    <w:rsid w:val="00ED539B"/>
    <w:rsid w:val="00ED7045"/>
    <w:rsid w:val="00EE0D69"/>
    <w:rsid w:val="00EE3BB9"/>
    <w:rsid w:val="00F036DF"/>
    <w:rsid w:val="00F06273"/>
    <w:rsid w:val="00F113CA"/>
    <w:rsid w:val="00F21AF3"/>
    <w:rsid w:val="00F30861"/>
    <w:rsid w:val="00F37642"/>
    <w:rsid w:val="00F42F51"/>
    <w:rsid w:val="00F4524C"/>
    <w:rsid w:val="00F505B0"/>
    <w:rsid w:val="00F56D3F"/>
    <w:rsid w:val="00F70C91"/>
    <w:rsid w:val="00F81E13"/>
    <w:rsid w:val="00F86CF5"/>
    <w:rsid w:val="00F90B49"/>
    <w:rsid w:val="00F91BB5"/>
    <w:rsid w:val="00F91CC6"/>
    <w:rsid w:val="00FA30A4"/>
    <w:rsid w:val="00FA5CED"/>
    <w:rsid w:val="00FB0D0F"/>
    <w:rsid w:val="00FB3DB2"/>
    <w:rsid w:val="00FB613C"/>
    <w:rsid w:val="00FC07B6"/>
    <w:rsid w:val="00FC4F55"/>
    <w:rsid w:val="00FD371C"/>
    <w:rsid w:val="00FE5E96"/>
    <w:rsid w:val="00FE74B3"/>
    <w:rsid w:val="00FF0BD9"/>
    <w:rsid w:val="00FF46B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רגיל + ‏12 נק'"/>
    <w:aliases w:val="מיושר לשני הצדדים,מרווח בין שורות:  שורה וחצי"/>
    <w:basedOn w:val="a"/>
    <w:rPr>
      <w:b/>
      <w:bCs/>
      <w:noProof w:val="0"/>
      <w:u w:val="single"/>
    </w:rPr>
  </w:style>
  <w:style w:type="paragraph" w:styleId="ac">
    <w:name w:val="List Paragraph"/>
    <w:basedOn w:val="a"/>
    <w:uiPriority w:val="34"/>
    <w:qFormat/>
    <w:rsid w:val="007F5051"/>
    <w:pPr>
      <w:ind w:left="720"/>
      <w:contextualSpacing/>
    </w:pPr>
  </w:style>
  <w:style w:type="paragraph" w:styleId="ad">
    <w:name w:val="footnote text"/>
    <w:basedOn w:val="a"/>
    <w:link w:val="ae"/>
    <w:unhideWhenUsed/>
    <w:rsid w:val="004C3C7C"/>
    <w:rPr>
      <w:sz w:val="20"/>
      <w:szCs w:val="20"/>
    </w:rPr>
  </w:style>
  <w:style w:type="character" w:customStyle="1" w:styleId="ae">
    <w:name w:val="טקסט הערת שוליים תו"/>
    <w:basedOn w:val="a0"/>
    <w:link w:val="ad"/>
    <w:rsid w:val="004C3C7C"/>
    <w:rPr>
      <w:rFonts w:cs="David"/>
      <w:noProof/>
    </w:rPr>
  </w:style>
  <w:style w:type="character" w:styleId="af">
    <w:name w:val="footnote reference"/>
    <w:basedOn w:val="a0"/>
    <w:semiHidden/>
    <w:unhideWhenUsed/>
    <w:rsid w:val="004C3C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545315">
      <w:bodyDiv w:val="1"/>
      <w:marLeft w:val="0"/>
      <w:marRight w:val="0"/>
      <w:marTop w:val="0"/>
      <w:marBottom w:val="0"/>
      <w:divBdr>
        <w:top w:val="none" w:sz="0" w:space="0" w:color="auto"/>
        <w:left w:val="none" w:sz="0" w:space="0" w:color="auto"/>
        <w:bottom w:val="none" w:sz="0" w:space="0" w:color="auto"/>
        <w:right w:val="none" w:sz="0" w:space="0" w:color="auto"/>
      </w:divBdr>
    </w:div>
    <w:div w:id="95402378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262024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2842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79041930</CaseID>
    <CaseJudicialPersonPresentationDS>
      <CaseJudicalPersonActive>
        <CaseID>79041930</CaseID>
        <JudicialPersonID>015522196@GOV.IL</JudicialPersonID>
        <JudicialPersonTypeID>1</JudicialPersonTypeID>
        <JudicialTypeID>1</JudicialTypeID>
        <IsChairman>false</IsChairman>
        <TreatmentStartDate>2022-11-30T08:32:22.873+02:00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עוז טכנולוגיות (1972) בע"מ</FullName>
        <LastName>עוז טכנולוגיות (1972) בע"מ</LastName>
        <PartyPropertyName/>
        <AuthenticationTypeAndNumber>חברות 510624133</AuthenticationTypeAndNumber>
        <RepresentatedOrRepresentativesNames>יניב שקל</RepresentatedOrRepresentativesNames>
        <RepresentatedOrRepresentativesCount>1</RepresentatedOrRepresentativesCount>
        <InvitedBy/>
        <CaseID>79041930</CaseID>
        <CaseJudicialPersonPresentationDS>
          <CaseJudicalPersonActive>
            <CaseID>79041930</CaseID>
            <JudicialPersonID>015522196@GOV.IL</JudicialPersonID>
            <JudicialPersonTypeID>1</JudicialPersonTypeID>
            <JudicialTypeID>1</JudicialTypeID>
            <IsChairman>false</IsChairman>
            <TreatmentStartDate>2022-11-30T08:32:22.873+02:00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237325866</CasePartyID>
        <PartyTypeID>1</PartyTypeID>
        <ActivityStatusID>1</ActivityStatusID>
        <PartyAliasID>5</PartyAliasID>
        <PartyAliasName>מערער</PartyAliasName>
        <OrdinalNumber>1</OrdinalNumber>
        <LegalEntityID>54198</LegalEntityID>
        <CaseLegalEntityID>118651084</CaseLegalEntityID>
        <AuthenticationTypeID>3</AuthenticationTypeID>
        <AuthenticationTypeName>חברות</AuthenticationTypeName>
        <LegalEntityNumber>510624133</LegalEntityNumber>
        <IsMainPartyType>true</IsMainPartyType>
        <CaseDisplayIdentifier>26652-02-22</CaseDisplayIdentifier>
        <CaseTypeID>10113</CaseTypeID>
        <CaseTypeName>ערעור מסים (ע"מ)</CaseTypeName>
        <CaseName>עוז טכנולוגיות (1972) בע"מ נ' פקיד שומה למפעלים גדולים</CaseName>
        <FullAddress>שד אבא אבן 1 הרצלייה </FullAddress>
        <MotionID>0</MotionID>
        <CasePleaID>0</CasePleaID>
        <FatherName xml:space="preserve">        </FatherName>
        <LinkedCaseID>0</LinkedCaseID>
        <PartyID>1</PartyID>
        <CasePartyCategoryID>2</CasePartyCategoryID>
        <LegalEntityAddressID>72847119</LegalEntityAddressID>
        <PleaTypeID>6</PleaTypeID>
        <GroupPartyAlias>מערערים</GroupPartyAlias>
        <IsConverted>false</IsConverted>
        <LegalEntityRegisteredNameID>53344</LegalEntityRegisteredNameID>
        <RepresentatedNamesOfAssistant/>
        <LegalEntityTypeID>3</LegalEntityTypeID>
        <IsVerdictExists>false</IsVerdictExists>
        <IsAsirAzir>false</IsAsirAzir>
        <MainAndSecSpec/>
        <IsPublicationProhibited>false</IsPublicationProhibited>
        <PublicationProhibitedFullName>עוז טכנולוגיות (1972)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יניב שקל</FullName>
        <FirstName>יניב</FirstName>
        <LastName>שקל</LastName>
        <PartyPropertyName/>
        <AuthenticationTypeAndNumber>מ.ר. 26951</AuthenticationTypeAndNumber>
        <RepresentatedOrRepresentativesNames xml:space="preserve"> </RepresentatedOrRepresentativesNames>
        <RepresentatedOrRepresentativesCount>1</RepresentatedOrRepresentativesCount>
        <InvitedBy/>
        <CaseID>79041930</CaseID>
        <CaseJudicialPersonPresentationDS>
          <CaseJudicalPersonActive>
            <CaseID>79041930</CaseID>
            <JudicialPersonID>015522196@GOV.IL</JudicialPersonID>
            <JudicialPersonTypeID>1</JudicialPersonTypeID>
            <JudicialTypeID>1</JudicialTypeID>
            <IsChairman>false</IsChairman>
            <TreatmentStartDate>2022-11-30T08:32:22.873+02:00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237325867</CasePartyID>
        <PartyTypeID>2</PartyTypeID>
        <ActivityStatusID>1</ActivityStatusID>
        <PartyAliasID>24</PartyAliasID>
        <PartyAliasName>בא כוח מערערים</PartyAliasName>
        <OrdinalNumber>1</OrdinalNumber>
        <LegalEntityID>402864</LegalEntityID>
        <CaseLegalEntityID>118651085</CaseLegalEntityID>
        <AuthenticationTypeID>4</AuthenticationTypeID>
        <AuthenticationTypeName>מ.ר.</AuthenticationTypeName>
        <LegalEntityNumber>26951</LegalEntityNumber>
        <IsMainPartyType>true</IsMainPartyType>
        <CaseDisplayIdentifier>26652-02-22</CaseDisplayIdentifier>
        <CaseTypeID>10113</CaseTypeID>
        <CaseTypeName>ערעור מסים (ע"מ)</CaseTypeName>
        <CaseName>עוז טכנולוגיות (1972) בע"מ נ' פקיד שומה למפעלים גדולים</CaseName>
        <FullAddress>מרכז עזריאלי 3 תל אביב -יפו המגדל המשולש, קומה 33</FullAddress>
        <MotionID>0</MotionID>
        <CasePleaID>0</CasePleaID>
        <LinkedCaseID>0</LinkedCaseID>
        <PartyID>1</PartyID>
        <CasePartyCategoryID>2</CasePartyCategoryID>
        <LegalEntityAddressID>445846</LegalEntityAddressID>
        <PleaTypeID>6</PleaTypeID>
        <LawyerOfficeName>משרד עו"ד:שקל ושות'</LawyerOfficeName>
        <LawyerOfficeID>443508</LawyerOfficeID>
        <GroupPartyAlias/>
        <IsConverted>false</IsConverted>
        <LegalEntityNameID>23848</LegalEntityNameID>
        <RepresentatedNamesOfAssistant/>
        <LegalEntityTypeID>4</LegalEntityTypeID>
        <IsVerdictExists>false</IsVerdictExists>
        <IsAsirAzir>false</IsAsirAzir>
        <MainAndSecSpec/>
        <IsPublicationProhibited>false</IsPublicationProhibited>
        <PublicationProhibitedFullName>יניב שקל</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למפעלים גדולים</FullName>
        <LastName>פקיד שומה למפעלים גדולים</LastName>
        <PartyPropertyName/>
        <AuthenticationTypeAndNumber>משרדי ממשלה 570000873</AuthenticationTypeAndNumber>
        <RepresentatedOrRepresentativesNames>ליאב וינבאום</RepresentatedOrRepresentativesNames>
        <RepresentatedOrRepresentativesCount>1</RepresentatedOrRepresentativesCount>
        <InvitedBy/>
        <CaseID>79041930</CaseID>
        <CaseJudicialPersonPresentationDS>
          <CaseJudicalPersonActive>
            <CaseID>79041930</CaseID>
            <JudicialPersonID>015522196@GOV.IL</JudicialPersonID>
            <JudicialPersonTypeID>1</JudicialPersonTypeID>
            <JudicialTypeID>1</JudicialTypeID>
            <IsChairman>false</IsChairman>
            <TreatmentStartDate>2022-11-30T08:32:22.873+02:00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237325868</CasePartyID>
        <PartyTypeID>1</PartyTypeID>
        <ActivityStatusID>1</ActivityStatusID>
        <PartyAliasID>4</PartyAliasID>
        <PartyAliasName>משיב</PartyAliasName>
        <OrdinalNumber>1</OrdinalNumber>
        <LegalEntityID>33086344</LegalEntityID>
        <CaseLegalEntityID>118651086</CaseLegalEntityID>
        <AuthenticationTypeID>13</AuthenticationTypeID>
        <AuthenticationTypeName>משרדי ממשלה</AuthenticationTypeName>
        <LegalEntityNumber>570000873</LegalEntityNumber>
        <IsMainPartyType>true</IsMainPartyType>
        <CaseDisplayIdentifier>26652-02-22</CaseDisplayIdentifier>
        <CaseTypeID>10113</CaseTypeID>
        <CaseTypeName>ערעור מסים (ע"מ)</CaseTypeName>
        <CaseName>עוז טכנולוגיות (1972) בע"מ נ' פקיד שומה למפעלים גדולים</CaseName>
        <FullAddress>דרך מנחם בגין 125 תל אביב -יפו </FullAddress>
        <MotionID>0</MotionID>
        <CasePleaID>0</CasePleaID>
        <LinkedCaseID>0</LinkedCaseID>
        <PartyID>2</PartyID>
        <CasePartyCategoryID>2</CasePartyCategoryID>
        <LegalEntityAddressID>33447814</LegalEntityAddressID>
        <PleaTypeID>6</PleaTypeID>
        <GroupPartyAlias>משיבים</GroupPartyAlias>
        <IsConverted>false</IsConverted>
        <LegalEntityRegisteredNameID>1840304</LegalEntityRegisteredNameID>
        <RepresentatedNamesOfAssistant/>
        <LegalEntityTypeID>3</LegalEntityTypeID>
        <IsVerdictExists>false</IsVerdictExists>
        <IsAsirAzir>false</IsAsirAzir>
        <MainAndSecSpec/>
        <IsPublicationProhibited>false</IsPublicationProhibited>
        <PublicationProhibitedFullName>פקיד שומה למפעלים גדולים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79041930</CaseID>
        <CaseJudicialPersonPresentationDS>
          <CaseJudicalPersonActive>
            <CaseID>79041930</CaseID>
            <JudicialPersonID>015522196@GOV.IL</JudicialPersonID>
            <JudicialPersonTypeID>1</JudicialPersonTypeID>
            <JudicialTypeID>1</JudicialTypeID>
            <IsChairman>false</IsChairman>
            <TreatmentStartDate>2022-11-30T08:32:22.873+02:00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245028652</CasePartyID>
        <PartyTypeID>2</PartyTypeID>
        <ActivityStatusID>1</ActivityStatusID>
        <PartyAliasID>23</PartyAliasID>
        <PartyAliasName>בא כוח משיבים</PartyAliasName>
        <OrdinalNumber>1</OrdinalNumber>
        <LegalEntityID>379600</LegalEntityID>
        <CaseLegalEntityID>121042172</CaseLegalEntityID>
        <AuthenticationTypeID>4</AuthenticationTypeID>
        <AuthenticationTypeName>מ.ר.</AuthenticationTypeName>
        <LegalEntityNumber>14771</LegalEntityNumber>
        <IsMainPartyType>true</IsMainPartyType>
        <CaseDisplayIdentifier>26652-02-22</CaseDisplayIdentifier>
        <CaseTypeID>10113</CaseTypeID>
        <CaseTypeName>ערעור מסים (ע"מ)</CaseTypeName>
        <CaseName>עוז טכנולוגיות (1972) בע"מ נ' פקיד שומה למפעלים גדולים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SelectionDS>
    <DecisionName>פסק דין  שניתנה ע"י  הרי קירש</DecisionName>
    <CourtDisplayName>בית משפט לעניינים מנהליים בתל אביב -יפו</CourtDisplayName>
    <IsCaseJudgePanel>false</IsCaseJudgePanel>
    <DecisionSignatureDate>2024-07-18T10:01:22.4174185+03:00</DecisionSignatureDate>
    <OpenCaseDate>2022-02-13T09:19:00+02:00</OpenCaseDate>
    <CaseFeeSum>0.000</CaseFeeSum>
    <DecisionTypeID>2</DecisionTypeID>
    <DecisionSignatureUserName>הרי קירש</DecisionSignatureUserName>
    <DecisionSignatureDateHebrew>2024-07-18T10:01:22.4174185+03:00</DecisionSignatureDateHebrew>
    <DecisionWriterID>015522196@GOV.IL</DecisionWriterID>
    <CourtAddress>רח' ויצמן  1 היכל המשפט, תל אביב -יפו 64239</CourtAddress>
    <IsAutoTextInCaseExist>true</IsAutoTextInCaseExist>
    <DecisionSignatureRoleName>שופט</DecisionSignatureRoleName>
    <DecisionSignatureUserTitleName>שופט</DecisionSignatureUserTitleName>
    <CaseName>עוז טכנולוגיות (1972) בע"מ נ' פקיד שומה למפעלים גדולים</CaseName>
    <DecisionNumberInCase>16</DecisionNumberInCase>
  </dt_Decision>
  <dt_DecisionCase>
    <DecisionID>0</DecisionID>
    <CaseID>79041930</CaseID>
    <CaseJudicialPersonPresentationDS>
      <CaseJudicalPersonActive>
        <CaseID>79041930</CaseID>
        <JudicialPersonID>015522196@GOV.IL</JudicialPersonID>
        <JudicialPersonTypeID>1</JudicialPersonTypeID>
        <JudicialTypeID>1</JudicialTypeID>
        <IsChairman>false</IsChairman>
        <TreatmentStartDate>2022-11-30T08:32:22.873+02:00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עוז טכנולוגיות (1972) בע"מ</FullName>
        <LastName>עוז טכנולוגיות (1972) בע"מ</LastName>
        <PartyPropertyName/>
        <AuthenticationTypeAndNumber>חברות 510624133</AuthenticationTypeAndNumber>
        <RepresentatedOrRepresentativesNames>יניב שקל</RepresentatedOrRepresentativesNames>
        <RepresentatedOrRepresentativesCount>1</RepresentatedOrRepresentativesCount>
        <InvitedBy/>
        <CaseID>79041930</CaseID>
        <CaseJudicialPersonPresentationDS>
          <CaseJudicalPersonActive>
            <CaseID>79041930</CaseID>
            <JudicialPersonID>015522196@GOV.IL</JudicialPersonID>
            <JudicialPersonTypeID>1</JudicialPersonTypeID>
            <JudicialTypeID>1</JudicialTypeID>
            <IsChairman>false</IsChairman>
            <TreatmentStartDate>2022-11-30T08:32:22.873+02:00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237325866</CasePartyID>
        <PartyTypeID>1</PartyTypeID>
        <ActivityStatusID>1</ActivityStatusID>
        <PartyAliasID>5</PartyAliasID>
        <PartyAliasName>מערער</PartyAliasName>
        <OrdinalNumber>1</OrdinalNumber>
        <LegalEntityID>54198</LegalEntityID>
        <CaseLegalEntityID>118651084</CaseLegalEntityID>
        <AuthenticationTypeID>3</AuthenticationTypeID>
        <AuthenticationTypeName>חברות</AuthenticationTypeName>
        <LegalEntityNumber>510624133</LegalEntityNumber>
        <IsMainPartyType>true</IsMainPartyType>
        <CaseDisplayIdentifier>26652-02-22</CaseDisplayIdentifier>
        <CaseTypeID>10113</CaseTypeID>
        <CaseTypeName>ערעור מסים (ע"מ)</CaseTypeName>
        <CaseName>עוז טכנולוגיות (1972) בע"מ נ' פקיד שומה למפעלים גדולים</CaseName>
        <FullAddress>שד אבא אבן 1 הרצלייה </FullAddress>
        <MotionID>0</MotionID>
        <CasePleaID>0</CasePleaID>
        <FatherName xml:space="preserve">        </FatherName>
        <LinkedCaseID>0</LinkedCaseID>
        <PartyID>1</PartyID>
        <CasePartyCategoryID>2</CasePartyCategoryID>
        <LegalEntityAddressID>72847119</LegalEntityAddressID>
        <PleaTypeID>6</PleaTypeID>
        <GroupPartyAlias>מערערים</GroupPartyAlias>
        <IsConverted>false</IsConverted>
        <LegalEntityRegisteredNameID>53344</LegalEntityRegisteredNameID>
        <RepresentatedNamesOfAssistant/>
        <LegalEntityTypeID>3</LegalEntityTypeID>
        <IsVerdictExists>false</IsVerdictExists>
        <IsAsirAzir>false</IsAsirAzir>
        <MainAndSecSpec/>
        <IsPublicationProhibited>false</IsPublicationProhibited>
        <PublicationProhibitedFullName>עוז טכנולוגיות (1972)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יניב שקל</FullName>
        <FirstName>יניב</FirstName>
        <LastName>שקל</LastName>
        <PartyPropertyName/>
        <AuthenticationTypeAndNumber>מ.ר. 26951</AuthenticationTypeAndNumber>
        <RepresentatedOrRepresentativesNames xml:space="preserve"> </RepresentatedOrRepresentativesNames>
        <RepresentatedOrRepresentativesCount>1</RepresentatedOrRepresentativesCount>
        <InvitedBy/>
        <CaseID>79041930</CaseID>
        <CaseJudicialPersonPresentationDS>
          <CaseJudicalPersonActive>
            <CaseID>79041930</CaseID>
            <JudicialPersonID>015522196@GOV.IL</JudicialPersonID>
            <JudicialPersonTypeID>1</JudicialPersonTypeID>
            <JudicialTypeID>1</JudicialTypeID>
            <IsChairman>false</IsChairman>
            <TreatmentStartDate>2022-11-30T08:32:22.873+02:00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237325867</CasePartyID>
        <PartyTypeID>2</PartyTypeID>
        <ActivityStatusID>1</ActivityStatusID>
        <PartyAliasID>24</PartyAliasID>
        <PartyAliasName>בא כוח מערערים</PartyAliasName>
        <OrdinalNumber>1</OrdinalNumber>
        <LegalEntityID>402864</LegalEntityID>
        <CaseLegalEntityID>118651085</CaseLegalEntityID>
        <AuthenticationTypeID>4</AuthenticationTypeID>
        <AuthenticationTypeName>מ.ר.</AuthenticationTypeName>
        <LegalEntityNumber>26951</LegalEntityNumber>
        <IsMainPartyType>true</IsMainPartyType>
        <CaseDisplayIdentifier>26652-02-22</CaseDisplayIdentifier>
        <CaseTypeID>10113</CaseTypeID>
        <CaseTypeName>ערעור מסים (ע"מ)</CaseTypeName>
        <CaseName>עוז טכנולוגיות (1972) בע"מ נ' פקיד שומה למפעלים גדולים</CaseName>
        <FullAddress>מרכז עזריאלי 3 תל אביב -יפו המגדל המשולש, קומה 33</FullAddress>
        <MotionID>0</MotionID>
        <CasePleaID>0</CasePleaID>
        <LinkedCaseID>0</LinkedCaseID>
        <PartyID>1</PartyID>
        <CasePartyCategoryID>2</CasePartyCategoryID>
        <LegalEntityAddressID>445846</LegalEntityAddressID>
        <PleaTypeID>6</PleaTypeID>
        <LawyerOfficeName>משרד עו"ד:שקל ושות'</LawyerOfficeName>
        <LawyerOfficeID>443508</LawyerOfficeID>
        <GroupPartyAlias/>
        <IsConverted>false</IsConverted>
        <LegalEntityNameID>23848</LegalEntityNameID>
        <RepresentatedNamesOfAssistant/>
        <LegalEntityTypeID>4</LegalEntityTypeID>
        <IsVerdictExists>false</IsVerdictExists>
        <IsAsirAzir>false</IsAsirAzir>
        <MainAndSecSpec/>
        <IsPublicationProhibited>false</IsPublicationProhibited>
        <PublicationProhibitedFullName>יניב שקל</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למפעלים גדולים</FullName>
        <LastName>פקיד שומה למפעלים גדולים</LastName>
        <PartyPropertyName/>
        <AuthenticationTypeAndNumber>משרדי ממשלה 570000873</AuthenticationTypeAndNumber>
        <RepresentatedOrRepresentativesNames>ליאב וינבאום</RepresentatedOrRepresentativesNames>
        <RepresentatedOrRepresentativesCount>1</RepresentatedOrRepresentativesCount>
        <InvitedBy/>
        <CaseID>79041930</CaseID>
        <CaseJudicialPersonPresentationDS>
          <CaseJudicalPersonActive>
            <CaseID>79041930</CaseID>
            <JudicialPersonID>015522196@GOV.IL</JudicialPersonID>
            <JudicialPersonTypeID>1</JudicialPersonTypeID>
            <JudicialTypeID>1</JudicialTypeID>
            <IsChairman>false</IsChairman>
            <TreatmentStartDate>2022-11-30T08:32:22.873+02:00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237325868</CasePartyID>
        <PartyTypeID>1</PartyTypeID>
        <ActivityStatusID>1</ActivityStatusID>
        <PartyAliasID>4</PartyAliasID>
        <PartyAliasName>משיב</PartyAliasName>
        <OrdinalNumber>1</OrdinalNumber>
        <LegalEntityID>33086344</LegalEntityID>
        <CaseLegalEntityID>118651086</CaseLegalEntityID>
        <AuthenticationTypeID>13</AuthenticationTypeID>
        <AuthenticationTypeName>משרדי ממשלה</AuthenticationTypeName>
        <LegalEntityNumber>570000873</LegalEntityNumber>
        <IsMainPartyType>true</IsMainPartyType>
        <CaseDisplayIdentifier>26652-02-22</CaseDisplayIdentifier>
        <CaseTypeID>10113</CaseTypeID>
        <CaseTypeName>ערעור מסים (ע"מ)</CaseTypeName>
        <CaseName>עוז טכנולוגיות (1972) בע"מ נ' פקיד שומה למפעלים גדולים</CaseName>
        <FullAddress>דרך מנחם בגין 125 תל אביב -יפו </FullAddress>
        <MotionID>0</MotionID>
        <CasePleaID>0</CasePleaID>
        <LinkedCaseID>0</LinkedCaseID>
        <PartyID>2</PartyID>
        <CasePartyCategoryID>2</CasePartyCategoryID>
        <LegalEntityAddressID>33447814</LegalEntityAddressID>
        <PleaTypeID>6</PleaTypeID>
        <GroupPartyAlias>משיבים</GroupPartyAlias>
        <IsConverted>false</IsConverted>
        <LegalEntityRegisteredNameID>1840304</LegalEntityRegisteredNameID>
        <RepresentatedNamesOfAssistant/>
        <LegalEntityTypeID>3</LegalEntityTypeID>
        <IsVerdictExists>false</IsVerdictExists>
        <IsAsirAzir>false</IsAsirAzir>
        <MainAndSecSpec/>
        <IsPublicationProhibited>false</IsPublicationProhibited>
        <PublicationProhibitedFullName>פקיד שומה למפעלים גדולים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79041930</CaseID>
        <CaseJudicialPersonPresentationDS>
          <CaseJudicalPersonActive>
            <CaseID>79041930</CaseID>
            <JudicialPersonID>015522196@GOV.IL</JudicialPersonID>
            <JudicialPersonTypeID>1</JudicialPersonTypeID>
            <JudicialTypeID>1</JudicialTypeID>
            <IsChairman>false</IsChairman>
            <TreatmentStartDate>2022-11-30T08:32:22.873+02:00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245028652</CasePartyID>
        <PartyTypeID>2</PartyTypeID>
        <ActivityStatusID>1</ActivityStatusID>
        <PartyAliasID>23</PartyAliasID>
        <PartyAliasName>בא כוח משיבים</PartyAliasName>
        <OrdinalNumber>1</OrdinalNumber>
        <LegalEntityID>379600</LegalEntityID>
        <CaseLegalEntityID>121042172</CaseLegalEntityID>
        <AuthenticationTypeID>4</AuthenticationTypeID>
        <AuthenticationTypeName>מ.ר.</AuthenticationTypeName>
        <LegalEntityNumber>14771</LegalEntityNumber>
        <IsMainPartyType>true</IsMainPartyType>
        <CaseDisplayIdentifier>26652-02-22</CaseDisplayIdentifier>
        <CaseTypeID>10113</CaseTypeID>
        <CaseTypeName>ערעור מסים (ע"מ)</CaseTypeName>
        <CaseName>עוז טכנולוגיות (1972) בע"מ נ' פקיד שומה למפעלים גדולים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SelectionDS>
    <CaseName>עוז טכנולוגיות (1972) בע"מ נ' פקיד שומה למפעלים גדולים</CaseName>
    <CaseDisplayIdentifier>26652-02-22</CaseDisplayIdentifier>
    <CaseInterestID>65</CaseInterestID>
    <CaseTypeShortName>ע"מ</CaseTypeShortName>
  </dt_DecisionCase>
  <dt_DecisionJudgePanel>
    <JudgeID>015522196@GOV.IL</JudgeID>
    <DisplayName>הרי קירש</DisplayName>
    <RoleName>שופט</RoleName>
    <UserTitleName>שופט</UserTitleName>
  </dt_DecisionJudgePanel>
  <dt_LegalEntityDetails>
    <PartyID>1</PartyID>
    <PartyTypeID>1</PartyTypeID>
    <DecisionID>0</DecisionID>
    <StreetName>שד אבא אבן 1</StreetName>
    <ZipCode>46725</ZipCode>
    <CityName>הרצלייה</CityName>
    <FullName> עוז טכנולוגיות (1972) בע"מ</FullName>
    <IsPublicationProhibited>false</IsPublicationProhibited>
  </dt_LegalEntityDetails>
  <dt_LegalEntityDetails>
    <Fax>03-6070301</Fax>
    <Phone>03-6070300</Phone>
    <AddressDesc>המגדל המשולש, קומה 33</AddressDesc>
    <PartyID>1</PartyID>
    <PartyTypeID>2</PartyTypeID>
    <DecisionID>0</DecisionID>
    <StreetName>מרכז עזריאלי 3</StreetName>
    <CityName>תל אביב -יפו</CityName>
    <FullName>יניב שקל</FullName>
    <Email>yanivs@slw.co.il</Email>
    <IsPublicationProhibited>false</IsPublicationProhibited>
  </dt_LegalEntityDetails>
  <dt_LegalEntityDetails>
    <Fax>03-7633812</Fax>
    <Phone>03-7633333</Phone>
    <PartyID>2</PartyID>
    <PartyTypeID>1</PartyTypeID>
    <DecisionID>0</DecisionID>
    <StreetName>דרך מנחם בגין 125</StreetName>
    <CityName>תל אביב -יפו</CityName>
    <FullName> פקיד שומה למפעלים גדולים</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CaseJudicalPersonActive>
    <CaseJudicalPerson>שופט הרי קירש</CaseJudicalPerson>
  </dt_CaseJudicalPersonActive>
  <dt_Sitting>
    <PreviousMeetingDate>2023-03-23T09:00:00+02:00</PreviousMeetingDate>
    <PreviousSittingTypeID>1</PreviousSittingTypeID>
    <PreviousMeetingDisplayName>שופט הרי קירש</PreviousMeetingDisplayName>
    <PreviousMeetingRoleName>שופט</PreviousMeetingRoleName>
    <PreviousMeetingUserTitleName>שופט</PreviousMeetingUserTitleName>
    <PreviousMeetingUserUPN>015522196@GOV.IL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E7AC0-7AA4-45D9-AA3C-6FEF0787F4DF}">
  <ds:schemaRefs/>
</ds:datastoreItem>
</file>

<file path=customXml/itemProps2.xml><?xml version="1.0" encoding="utf-8"?>
<ds:datastoreItem xmlns:ds="http://schemas.openxmlformats.org/officeDocument/2006/customXml" ds:itemID="{D1F8DCF1-6900-433B-81C1-81DE50C26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7431</Words>
  <Characters>37160</Characters>
  <Application>Microsoft Office Word</Application>
  <DocSecurity>4</DocSecurity>
  <Lines>309</Lines>
  <Paragraphs>89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2024-09-26T04:11:00Z</cp:lastPrinted>
  <dcterms:created xsi:type="dcterms:W3CDTF">2024-11-04T07:51:00Z</dcterms:created>
  <dcterms:modified xsi:type="dcterms:W3CDTF">2024-11-04T07:51:00Z</dcterms:modified>
</cp:coreProperties>
</file>